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F84BD8" w:rsidRDefault="001C3EB8">
      <w:pPr>
        <w:rPr>
          <w:rFonts w:ascii="Helvetica" w:hAnsi="Helvetica"/>
          <w:lang w:val="en-US"/>
        </w:rPr>
      </w:pPr>
      <w:r w:rsidRPr="00F84BD8">
        <w:rPr>
          <w:rFonts w:ascii="Helvetica" w:hAnsi="Helvetica"/>
          <w:lang w:val="en-US"/>
        </w:rPr>
        <w:t>22.6</w:t>
      </w:r>
      <w:r w:rsidR="00F07FB4" w:rsidRPr="00F84BD8">
        <w:rPr>
          <w:rFonts w:ascii="Helvetica" w:hAnsi="Helvetica"/>
          <w:lang w:val="en-US"/>
        </w:rPr>
        <w:t>.2011</w:t>
      </w:r>
    </w:p>
    <w:p w:rsidR="00332D40" w:rsidRPr="00F84BD8" w:rsidRDefault="00332D40">
      <w:pPr>
        <w:rPr>
          <w:rFonts w:ascii="Helvetica" w:hAnsi="Helvetica"/>
          <w:lang w:val="en-US"/>
        </w:rPr>
      </w:pPr>
    </w:p>
    <w:p w:rsidR="00BD570F" w:rsidRPr="00F84BD8" w:rsidRDefault="000E2468" w:rsidP="00BD570F">
      <w:pPr>
        <w:rPr>
          <w:rFonts w:ascii="Helvetica" w:hAnsi="Helvetica"/>
          <w:lang w:val="en-US"/>
        </w:rPr>
      </w:pPr>
      <w:r w:rsidRPr="00F84BD8">
        <w:rPr>
          <w:rFonts w:ascii="Helvetica" w:hAnsi="Helvetica"/>
          <w:lang w:val="en-US"/>
        </w:rPr>
        <w:t>Present</w:t>
      </w:r>
      <w:r w:rsidR="00D34B1E" w:rsidRPr="00F84BD8">
        <w:rPr>
          <w:rFonts w:ascii="Helvetica" w:hAnsi="Helvetica"/>
          <w:lang w:val="en-US"/>
        </w:rPr>
        <w:t>:</w:t>
      </w:r>
    </w:p>
    <w:p w:rsidR="00534BC2" w:rsidRPr="00F84BD8" w:rsidRDefault="00534BC2" w:rsidP="00534BC2">
      <w:pPr>
        <w:rPr>
          <w:rFonts w:ascii="Helvetica" w:hAnsi="Helvetica"/>
          <w:lang w:val="en-US"/>
        </w:rPr>
      </w:pPr>
      <w:r w:rsidRPr="00F84BD8">
        <w:rPr>
          <w:rFonts w:ascii="Helvetica" w:hAnsi="Helvetica"/>
          <w:lang w:val="en-US"/>
        </w:rPr>
        <w:t xml:space="preserve"> Jochen Knopf</w:t>
      </w:r>
      <w:r w:rsidR="00094D90" w:rsidRPr="00F84BD8">
        <w:rPr>
          <w:rFonts w:ascii="Helvetica" w:hAnsi="Helvetica"/>
          <w:lang w:val="en-US"/>
        </w:rPr>
        <w:t xml:space="preserve">, </w:t>
      </w:r>
      <w:r w:rsidRPr="00F84BD8">
        <w:rPr>
          <w:rFonts w:ascii="Helvetica" w:hAnsi="Helvetica"/>
          <w:lang w:val="en-US"/>
        </w:rPr>
        <w:t>Soeren Lange</w:t>
      </w:r>
      <w:r w:rsidR="00094D90" w:rsidRPr="00F84BD8">
        <w:rPr>
          <w:rFonts w:ascii="Helvetica" w:hAnsi="Helvetica"/>
          <w:lang w:val="en-US"/>
        </w:rPr>
        <w:t xml:space="preserve">, </w:t>
      </w:r>
      <w:r w:rsidRPr="00F84BD8">
        <w:rPr>
          <w:rFonts w:ascii="Helvetica" w:hAnsi="Helvetica"/>
          <w:lang w:val="en-US"/>
        </w:rPr>
        <w:t>Jelena Ninkovic</w:t>
      </w:r>
      <w:r w:rsidR="00094D90" w:rsidRPr="00F84BD8">
        <w:rPr>
          <w:rFonts w:ascii="Helvetica" w:hAnsi="Helvetica"/>
          <w:lang w:val="en-US"/>
        </w:rPr>
        <w:t xml:space="preserve">, </w:t>
      </w:r>
      <w:r w:rsidRPr="00F84BD8">
        <w:rPr>
          <w:rFonts w:ascii="Helvetica" w:hAnsi="Helvetica"/>
          <w:lang w:val="en-US"/>
        </w:rPr>
        <w:t>Christian Koffmane</w:t>
      </w:r>
      <w:r w:rsidR="00094D90" w:rsidRPr="00F84BD8">
        <w:rPr>
          <w:rFonts w:ascii="Helvetica" w:hAnsi="Helvetica"/>
          <w:lang w:val="en-US"/>
        </w:rPr>
        <w:t xml:space="preserve">, </w:t>
      </w:r>
      <w:r w:rsidRPr="00F84BD8">
        <w:rPr>
          <w:rFonts w:ascii="Helvetica" w:hAnsi="Helvetica"/>
          <w:lang w:val="en-US"/>
        </w:rPr>
        <w:t>Carlos Lacasta</w:t>
      </w:r>
      <w:r w:rsidR="00094D90" w:rsidRPr="00F84BD8">
        <w:rPr>
          <w:rFonts w:ascii="Helvetica" w:hAnsi="Helvetica"/>
          <w:lang w:val="en-US"/>
        </w:rPr>
        <w:t xml:space="preserve">, </w:t>
      </w:r>
    </w:p>
    <w:p w:rsidR="00534BC2" w:rsidRPr="00F84BD8" w:rsidRDefault="00534BC2" w:rsidP="00534BC2">
      <w:pPr>
        <w:rPr>
          <w:rFonts w:ascii="Helvetica" w:hAnsi="Helvetica"/>
          <w:lang w:val="en-US"/>
        </w:rPr>
      </w:pPr>
      <w:r w:rsidRPr="00F84BD8">
        <w:rPr>
          <w:rFonts w:ascii="Helvetica" w:hAnsi="Helvetica"/>
          <w:lang w:val="en-US"/>
        </w:rPr>
        <w:t>Christian Kiesling</w:t>
      </w:r>
      <w:r w:rsidR="00094D90" w:rsidRPr="00F84BD8">
        <w:rPr>
          <w:rFonts w:ascii="Helvetica" w:hAnsi="Helvetica"/>
          <w:lang w:val="en-US"/>
        </w:rPr>
        <w:t>,</w:t>
      </w:r>
      <w:r w:rsidRPr="00F84BD8">
        <w:rPr>
          <w:rFonts w:ascii="Helvetica" w:hAnsi="Helvetica"/>
          <w:lang w:val="en-US"/>
        </w:rPr>
        <w:t xml:space="preserve"> </w:t>
      </w:r>
      <w:proofErr w:type="spellStart"/>
      <w:r w:rsidRPr="00F84BD8">
        <w:rPr>
          <w:rFonts w:ascii="Helvetica" w:hAnsi="Helvetica"/>
          <w:lang w:val="en-US"/>
        </w:rPr>
        <w:t>Arantza</w:t>
      </w:r>
      <w:proofErr w:type="spellEnd"/>
      <w:r w:rsidRPr="00F84BD8">
        <w:rPr>
          <w:rFonts w:ascii="Helvetica" w:hAnsi="Helvetica"/>
          <w:lang w:val="en-US"/>
        </w:rPr>
        <w:t xml:space="preserve"> </w:t>
      </w:r>
      <w:proofErr w:type="spellStart"/>
      <w:r w:rsidRPr="00F84BD8">
        <w:rPr>
          <w:rFonts w:ascii="Helvetica" w:hAnsi="Helvetica"/>
          <w:lang w:val="en-US"/>
        </w:rPr>
        <w:t>Oyanguren</w:t>
      </w:r>
      <w:proofErr w:type="spellEnd"/>
      <w:r w:rsidR="00094D90" w:rsidRPr="00F84BD8">
        <w:rPr>
          <w:rFonts w:ascii="Helvetica" w:hAnsi="Helvetica"/>
          <w:lang w:val="en-US"/>
        </w:rPr>
        <w:t xml:space="preserve">, </w:t>
      </w:r>
      <w:r w:rsidRPr="00F84BD8">
        <w:rPr>
          <w:rFonts w:ascii="Helvetica" w:hAnsi="Helvetica"/>
          <w:lang w:val="en-US"/>
        </w:rPr>
        <w:t>Stefan Rummel</w:t>
      </w:r>
      <w:r w:rsidR="00094D90" w:rsidRPr="00F84BD8">
        <w:rPr>
          <w:rFonts w:ascii="Helvetica" w:hAnsi="Helvetica"/>
          <w:lang w:val="en-US"/>
        </w:rPr>
        <w:t>, Hans Krüger, Hans-Günther Moser,</w:t>
      </w:r>
      <w:r w:rsidRPr="00F84BD8">
        <w:rPr>
          <w:rFonts w:ascii="Helvetica" w:hAnsi="Helvetica"/>
          <w:lang w:val="en-US"/>
        </w:rPr>
        <w:t xml:space="preserve"> </w:t>
      </w:r>
      <w:proofErr w:type="spellStart"/>
      <w:r w:rsidRPr="00F84BD8">
        <w:rPr>
          <w:rFonts w:ascii="Helvetica" w:hAnsi="Helvetica"/>
          <w:lang w:val="en-US"/>
        </w:rPr>
        <w:t>Shuji</w:t>
      </w:r>
      <w:proofErr w:type="spellEnd"/>
      <w:r w:rsidRPr="00F84BD8">
        <w:rPr>
          <w:rFonts w:ascii="Helvetica" w:hAnsi="Helvetica"/>
          <w:lang w:val="en-US"/>
        </w:rPr>
        <w:t xml:space="preserve"> </w:t>
      </w:r>
      <w:proofErr w:type="spellStart"/>
      <w:r w:rsidRPr="00F84BD8">
        <w:rPr>
          <w:rFonts w:ascii="Helvetica" w:hAnsi="Helvetica"/>
          <w:lang w:val="en-US"/>
        </w:rPr>
        <w:t>Tanaka</w:t>
      </w:r>
      <w:r w:rsidR="00094D90" w:rsidRPr="00F84BD8">
        <w:rPr>
          <w:rFonts w:ascii="Helvetica" w:hAnsi="Helvetica"/>
          <w:lang w:val="en-US"/>
        </w:rPr>
        <w:t>,</w:t>
      </w:r>
      <w:r w:rsidRPr="00F84BD8">
        <w:rPr>
          <w:rFonts w:ascii="Helvetica" w:hAnsi="Helvetica"/>
          <w:lang w:val="en-US"/>
        </w:rPr>
        <w:t>Ivan</w:t>
      </w:r>
      <w:proofErr w:type="spellEnd"/>
      <w:r w:rsidRPr="00F84BD8">
        <w:rPr>
          <w:rFonts w:ascii="Helvetica" w:hAnsi="Helvetica"/>
          <w:lang w:val="en-US"/>
        </w:rPr>
        <w:t xml:space="preserve"> Peric</w:t>
      </w:r>
      <w:r w:rsidR="00094D90" w:rsidRPr="00F84BD8">
        <w:rPr>
          <w:rFonts w:ascii="Helvetica" w:hAnsi="Helvetica"/>
          <w:lang w:val="en-US"/>
        </w:rPr>
        <w:t xml:space="preserve">, </w:t>
      </w:r>
      <w:r w:rsidRPr="00F84BD8">
        <w:rPr>
          <w:rFonts w:ascii="Helvetica" w:hAnsi="Helvetica"/>
          <w:lang w:val="en-US"/>
        </w:rPr>
        <w:t xml:space="preserve">Peter </w:t>
      </w:r>
      <w:proofErr w:type="spellStart"/>
      <w:r w:rsidRPr="00F84BD8">
        <w:rPr>
          <w:rFonts w:ascii="Helvetica" w:hAnsi="Helvetica"/>
          <w:lang w:val="en-US"/>
        </w:rPr>
        <w:t>Kodys</w:t>
      </w:r>
      <w:proofErr w:type="spellEnd"/>
      <w:r w:rsidR="00094D90" w:rsidRPr="00F84BD8">
        <w:rPr>
          <w:rFonts w:ascii="Helvetica" w:hAnsi="Helvetica"/>
          <w:lang w:val="en-US"/>
        </w:rPr>
        <w:t xml:space="preserve">, </w:t>
      </w:r>
      <w:r w:rsidRPr="00F84BD8">
        <w:rPr>
          <w:rFonts w:ascii="Helvetica" w:hAnsi="Helvetica"/>
          <w:lang w:val="en-US"/>
        </w:rPr>
        <w:t xml:space="preserve">Tobias P. </w:t>
      </w:r>
      <w:proofErr w:type="spellStart"/>
      <w:r w:rsidRPr="00F84BD8">
        <w:rPr>
          <w:rFonts w:ascii="Helvetica" w:hAnsi="Helvetica"/>
          <w:lang w:val="en-US"/>
        </w:rPr>
        <w:t>Kleinohl</w:t>
      </w:r>
      <w:proofErr w:type="spellEnd"/>
      <w:r w:rsidR="00094D90" w:rsidRPr="00F84BD8">
        <w:rPr>
          <w:rFonts w:ascii="Helvetica" w:hAnsi="Helvetica"/>
          <w:lang w:val="en-US"/>
        </w:rPr>
        <w:t xml:space="preserve">, </w:t>
      </w:r>
      <w:r w:rsidRPr="00F84BD8">
        <w:rPr>
          <w:rFonts w:ascii="Helvetica" w:hAnsi="Helvetica"/>
          <w:lang w:val="en-US"/>
        </w:rPr>
        <w:t>Andreas Moll</w:t>
      </w:r>
      <w:r w:rsidR="00094D90" w:rsidRPr="00F84BD8">
        <w:rPr>
          <w:rFonts w:ascii="Helvetica" w:hAnsi="Helvetica"/>
          <w:lang w:val="en-US"/>
        </w:rPr>
        <w:t xml:space="preserve">, </w:t>
      </w:r>
      <w:r w:rsidRPr="00F84BD8">
        <w:rPr>
          <w:rFonts w:ascii="Helvetica" w:hAnsi="Helvetica"/>
          <w:lang w:val="en-US"/>
        </w:rPr>
        <w:t xml:space="preserve">David </w:t>
      </w:r>
      <w:proofErr w:type="spellStart"/>
      <w:r w:rsidRPr="00F84BD8">
        <w:rPr>
          <w:rFonts w:ascii="Helvetica" w:hAnsi="Helvetica"/>
          <w:lang w:val="en-US"/>
        </w:rPr>
        <w:t>Moya</w:t>
      </w:r>
      <w:proofErr w:type="spellEnd"/>
      <w:r w:rsidR="00094D90" w:rsidRPr="00F84BD8">
        <w:rPr>
          <w:rFonts w:ascii="Helvetica" w:hAnsi="Helvetica"/>
          <w:lang w:val="en-US"/>
        </w:rPr>
        <w:t xml:space="preserve">, </w:t>
      </w:r>
      <w:proofErr w:type="spellStart"/>
      <w:r w:rsidRPr="00F84BD8">
        <w:rPr>
          <w:rFonts w:ascii="Helvetica" w:hAnsi="Helvetica"/>
          <w:lang w:val="en-US"/>
        </w:rPr>
        <w:t>Raimon</w:t>
      </w:r>
      <w:proofErr w:type="spellEnd"/>
      <w:r w:rsidRPr="00F84BD8">
        <w:rPr>
          <w:rFonts w:ascii="Helvetica" w:hAnsi="Helvetica"/>
          <w:lang w:val="en-US"/>
        </w:rPr>
        <w:t xml:space="preserve"> Casanova</w:t>
      </w:r>
      <w:r w:rsidR="00094D90" w:rsidRPr="00F84BD8">
        <w:rPr>
          <w:rFonts w:ascii="Helvetica" w:hAnsi="Helvetica"/>
          <w:lang w:val="en-US"/>
        </w:rPr>
        <w:t xml:space="preserve">, </w:t>
      </w:r>
      <w:r w:rsidRPr="00F84BD8">
        <w:rPr>
          <w:rFonts w:ascii="Helvetica" w:hAnsi="Helvetica"/>
          <w:lang w:val="en-US"/>
        </w:rPr>
        <w:t>Zdenek Dolezal</w:t>
      </w:r>
      <w:r w:rsidR="00094D90" w:rsidRPr="00F84BD8">
        <w:rPr>
          <w:rFonts w:ascii="Helvetica" w:hAnsi="Helvetica"/>
          <w:lang w:val="en-US"/>
        </w:rPr>
        <w:t xml:space="preserve">, </w:t>
      </w:r>
      <w:r w:rsidRPr="00F84BD8">
        <w:rPr>
          <w:rFonts w:ascii="Helvetica" w:hAnsi="Helvetica"/>
          <w:lang w:val="en-US"/>
        </w:rPr>
        <w:t>Jochen Schieck</w:t>
      </w:r>
      <w:r w:rsidR="00094D90" w:rsidRPr="00F84BD8">
        <w:rPr>
          <w:rFonts w:ascii="Helvetica" w:hAnsi="Helvetica"/>
          <w:lang w:val="en-US"/>
        </w:rPr>
        <w:t xml:space="preserve">, Elena </w:t>
      </w:r>
      <w:proofErr w:type="spellStart"/>
      <w:r w:rsidR="00094D90" w:rsidRPr="00F84BD8">
        <w:rPr>
          <w:rFonts w:ascii="Helvetica" w:hAnsi="Helvetica"/>
          <w:lang w:val="en-US"/>
        </w:rPr>
        <w:t>Nedelkovska</w:t>
      </w:r>
      <w:proofErr w:type="spellEnd"/>
      <w:r w:rsidR="00094D90" w:rsidRPr="00F84BD8">
        <w:rPr>
          <w:rFonts w:ascii="Helvetica" w:hAnsi="Helvetica"/>
          <w:lang w:val="en-US"/>
        </w:rPr>
        <w:t>,</w:t>
      </w:r>
      <w:r w:rsidRPr="00F84BD8">
        <w:rPr>
          <w:rFonts w:ascii="Helvetica" w:hAnsi="Helvetica"/>
          <w:lang w:val="en-US"/>
        </w:rPr>
        <w:t xml:space="preserve"> Carlos Mariñas</w:t>
      </w:r>
      <w:r w:rsidR="00094D90" w:rsidRPr="00F84BD8">
        <w:rPr>
          <w:rFonts w:ascii="Helvetica" w:hAnsi="Helvetica"/>
          <w:lang w:val="en-US"/>
        </w:rPr>
        <w:t xml:space="preserve">, </w:t>
      </w:r>
      <w:r w:rsidRPr="00F84BD8">
        <w:rPr>
          <w:rFonts w:ascii="Helvetica" w:hAnsi="Helvetica"/>
          <w:lang w:val="en-US"/>
        </w:rPr>
        <w:t xml:space="preserve">Sergey </w:t>
      </w:r>
      <w:proofErr w:type="spellStart"/>
      <w:r w:rsidRPr="00F84BD8">
        <w:rPr>
          <w:rFonts w:ascii="Helvetica" w:hAnsi="Helvetica"/>
          <w:lang w:val="en-US"/>
        </w:rPr>
        <w:t>Fourletov</w:t>
      </w:r>
      <w:proofErr w:type="spellEnd"/>
      <w:r w:rsidR="00094D90" w:rsidRPr="00F84BD8">
        <w:rPr>
          <w:rFonts w:ascii="Helvetica" w:hAnsi="Helvetica"/>
          <w:lang w:val="en-US"/>
        </w:rPr>
        <w:t xml:space="preserve">, </w:t>
      </w:r>
    </w:p>
    <w:tbl>
      <w:tblPr>
        <w:tblW w:w="4999" w:type="pct"/>
        <w:tblCellSpacing w:w="0" w:type="dxa"/>
        <w:tblCellMar>
          <w:left w:w="0" w:type="dxa"/>
          <w:right w:w="0" w:type="dxa"/>
        </w:tblCellMar>
        <w:tblLook w:val="04A0"/>
      </w:tblPr>
      <w:tblGrid>
        <w:gridCol w:w="9070"/>
      </w:tblGrid>
      <w:tr w:rsidR="003127C2" w:rsidRPr="00094D90" w:rsidTr="001C3EB8">
        <w:trPr>
          <w:trHeight w:val="4470"/>
          <w:tblCellSpacing w:w="0" w:type="dxa"/>
        </w:trPr>
        <w:tc>
          <w:tcPr>
            <w:tcW w:w="0" w:type="auto"/>
            <w:hideMark/>
          </w:tcPr>
          <w:tbl>
            <w:tblPr>
              <w:tblW w:w="4500" w:type="pct"/>
              <w:jc w:val="center"/>
              <w:tblCellSpacing w:w="0" w:type="dxa"/>
              <w:tblCellMar>
                <w:left w:w="0" w:type="dxa"/>
                <w:right w:w="0" w:type="dxa"/>
              </w:tblCellMar>
              <w:tblLook w:val="04A0"/>
            </w:tblPr>
            <w:tblGrid>
              <w:gridCol w:w="6836"/>
              <w:gridCol w:w="1327"/>
            </w:tblGrid>
            <w:tr w:rsidR="003127C2" w:rsidRPr="00511406">
              <w:trPr>
                <w:tblCellSpacing w:w="0" w:type="dxa"/>
                <w:jc w:val="center"/>
              </w:trPr>
              <w:tc>
                <w:tcPr>
                  <w:tcW w:w="0" w:type="auto"/>
                  <w:gridSpan w:val="2"/>
                  <w:vAlign w:val="center"/>
                  <w:hideMark/>
                </w:tcPr>
                <w:p w:rsidR="003127C2" w:rsidRPr="00094D90" w:rsidRDefault="00534BC2">
                  <w:pPr>
                    <w:rPr>
                      <w:lang w:val="en-US"/>
                    </w:rPr>
                  </w:pPr>
                  <w:r w:rsidRPr="00F84BD8">
                    <w:rPr>
                      <w:rFonts w:ascii="Helvetica" w:hAnsi="Helvetica"/>
                      <w:lang w:val="en-US"/>
                    </w:rPr>
                    <w:t xml:space="preserve"> </w:t>
                  </w:r>
                </w:p>
              </w:tc>
            </w:tr>
            <w:tr w:rsidR="001C3EB8" w:rsidTr="001C3EB8">
              <w:tblPrEx>
                <w:jc w:val="left"/>
                <w:tblCellSpacing w:w="15" w:type="dxa"/>
                <w:tblBorders>
                  <w:bottom w:val="dashed" w:sz="6" w:space="0" w:color="999999"/>
                </w:tblBorders>
                <w:tblCellMar>
                  <w:top w:w="15" w:type="dxa"/>
                  <w:left w:w="20" w:type="dxa"/>
                  <w:bottom w:w="15" w:type="dxa"/>
                  <w:right w:w="15" w:type="dxa"/>
                </w:tblCellMar>
              </w:tblPrEx>
              <w:trPr>
                <w:tblCellSpacing w:w="15" w:type="dxa"/>
              </w:trPr>
              <w:tc>
                <w:tcPr>
                  <w:tcW w:w="0" w:type="auto"/>
                  <w:vAlign w:val="center"/>
                  <w:hideMark/>
                </w:tcPr>
                <w:p w:rsidR="001C3EB8" w:rsidRDefault="001C3EB8">
                  <w:pPr>
                    <w:spacing w:after="200"/>
                  </w:pPr>
                  <w:proofErr w:type="spellStart"/>
                  <w:r>
                    <w:rPr>
                      <w:rStyle w:val="day"/>
                      <w:b/>
                      <w:bCs/>
                    </w:rPr>
                    <w:t>Wednesday</w:t>
                  </w:r>
                  <w:proofErr w:type="spellEnd"/>
                  <w:r>
                    <w:rPr>
                      <w:rStyle w:val="day"/>
                      <w:b/>
                      <w:bCs/>
                    </w:rPr>
                    <w:t> 22 June 2011</w:t>
                  </w:r>
                </w:p>
              </w:tc>
              <w:tc>
                <w:tcPr>
                  <w:tcW w:w="0" w:type="auto"/>
                  <w:vAlign w:val="center"/>
                  <w:hideMark/>
                </w:tcPr>
                <w:p w:rsidR="001C3EB8" w:rsidRDefault="00044CE0">
                  <w:pPr>
                    <w:spacing w:after="200"/>
                    <w:jc w:val="right"/>
                  </w:pPr>
                  <w:hyperlink r:id="rId5" w:anchor="top" w:history="1">
                    <w:r w:rsidR="001C3EB8">
                      <w:rPr>
                        <w:rStyle w:val="Hyperlink"/>
                      </w:rPr>
                      <w:t>top</w:t>
                    </w:r>
                    <w:r w:rsidR="001C3EB8">
                      <w:rPr>
                        <w:noProof/>
                        <w:color w:val="0000FF"/>
                        <w:lang w:eastAsia="de-DE"/>
                      </w:rPr>
                      <w:drawing>
                        <wp:inline distT="0" distB="0" distL="0" distR="0">
                          <wp:extent cx="85725" cy="85725"/>
                          <wp:effectExtent l="19050" t="0" r="9525" b="0"/>
                          <wp:docPr id="22" name="Picture 1" descr="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6"/>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bookmarkStart w:id="0" w:name="2011-06-22"/>
                  <w:bookmarkEnd w:id="0"/>
                  <w:r w:rsidR="001C3EB8">
                    <w:t xml:space="preserve"> </w:t>
                  </w:r>
                </w:p>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547"/>
                    <w:gridCol w:w="6357"/>
                    <w:gridCol w:w="1713"/>
                  </w:tblGrid>
                  <w:tr w:rsidR="001C3EB8">
                    <w:trPr>
                      <w:tblCellSpacing w:w="0" w:type="dxa"/>
                    </w:trPr>
                    <w:tc>
                      <w:tcPr>
                        <w:tcW w:w="0" w:type="auto"/>
                        <w:vAlign w:val="center"/>
                        <w:hideMark/>
                      </w:tcPr>
                      <w:p w:rsidR="001C3EB8" w:rsidRDefault="001C3EB8">
                        <w:r>
                          <w:t>10:00</w:t>
                        </w:r>
                      </w:p>
                    </w:tc>
                    <w:tc>
                      <w:tcPr>
                        <w:tcW w:w="0" w:type="auto"/>
                        <w:vAlign w:val="center"/>
                        <w:hideMark/>
                      </w:tcPr>
                      <w:p w:rsidR="001C3EB8" w:rsidRPr="001C3EB8" w:rsidRDefault="001C3EB8">
                        <w:pPr>
                          <w:rPr>
                            <w:lang w:val="en-US"/>
                          </w:rPr>
                        </w:pPr>
                        <w:r w:rsidRPr="001C3EB8">
                          <w:rPr>
                            <w:rStyle w:val="contribtitle"/>
                            <w:lang w:val="en-US"/>
                          </w:rPr>
                          <w:t>Report on Tracking and CO2 Cooling Meetings</w:t>
                        </w:r>
                        <w:r w:rsidRPr="001C3EB8">
                          <w:rPr>
                            <w:color w:val="FF0000"/>
                            <w:sz w:val="20"/>
                            <w:szCs w:val="20"/>
                            <w:lang w:val="en-US"/>
                          </w:rPr>
                          <w:t xml:space="preserve"> (30') </w:t>
                        </w:r>
                        <w:r w:rsidRPr="001C3EB8">
                          <w:rPr>
                            <w:lang w:val="en-US"/>
                          </w:rPr>
                          <w:t>(</w:t>
                        </w:r>
                        <w:hyperlink r:id="rId8" w:history="1">
                          <w:r>
                            <w:rPr>
                              <w:noProof/>
                              <w:color w:val="0000FF"/>
                              <w:lang w:eastAsia="de-DE"/>
                            </w:rPr>
                            <w:drawing>
                              <wp:inline distT="0" distB="0" distL="0" distR="0">
                                <wp:extent cx="190500" cy="104775"/>
                                <wp:effectExtent l="19050" t="0" r="0" b="0"/>
                                <wp:docPr id="21" name="Picture 2" descr="fi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
                                          <a:hlinkClick r:id="rId8"/>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1C3EB8">
                            <w:rPr>
                              <w:rStyle w:val="Hyperlink"/>
                              <w:lang w:val="en-US"/>
                            </w:rPr>
                            <w:t> Slides</w:t>
                          </w:r>
                        </w:hyperlink>
                        <w:r w:rsidRPr="001C3EB8">
                          <w:rPr>
                            <w:lang w:val="en-US"/>
                          </w:rPr>
                          <w:t> </w:t>
                        </w:r>
                        <w:r>
                          <w:rPr>
                            <w:noProof/>
                            <w:color w:val="0000FF"/>
                            <w:lang w:eastAsia="de-DE"/>
                          </w:rPr>
                          <w:drawing>
                            <wp:inline distT="0" distB="0" distL="0" distR="0">
                              <wp:extent cx="152400" cy="152400"/>
                              <wp:effectExtent l="19050" t="0" r="0" b="0"/>
                              <wp:docPr id="20" name="Picture 3" descr="pdf 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a:hlinkClick r:id="rId10"/>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C3EB8">
                          <w:rPr>
                            <w:lang w:val="en-US"/>
                          </w:rPr>
                          <w:t xml:space="preserve">  ) </w:t>
                        </w:r>
                      </w:p>
                    </w:tc>
                    <w:tc>
                      <w:tcPr>
                        <w:tcW w:w="0" w:type="auto"/>
                        <w:vAlign w:val="center"/>
                        <w:hideMark/>
                      </w:tcPr>
                      <w:p w:rsidR="001C3EB8" w:rsidRDefault="001C3EB8">
                        <w:r>
                          <w:t>Christian Kiesling</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908"/>
                    <w:gridCol w:w="5507"/>
                    <w:gridCol w:w="2202"/>
                  </w:tblGrid>
                  <w:tr w:rsidR="001C3EB8">
                    <w:trPr>
                      <w:tblCellSpacing w:w="0" w:type="dxa"/>
                    </w:trPr>
                    <w:tc>
                      <w:tcPr>
                        <w:tcW w:w="0" w:type="auto"/>
                        <w:vAlign w:val="center"/>
                        <w:hideMark/>
                      </w:tcPr>
                      <w:p w:rsidR="001C3EB8" w:rsidRDefault="001C3EB8">
                        <w:r>
                          <w:t>10:30</w:t>
                        </w:r>
                      </w:p>
                    </w:tc>
                    <w:tc>
                      <w:tcPr>
                        <w:tcW w:w="0" w:type="auto"/>
                        <w:vAlign w:val="center"/>
                        <w:hideMark/>
                      </w:tcPr>
                      <w:p w:rsidR="001C3EB8" w:rsidRDefault="001C3EB8">
                        <w:r>
                          <w:rPr>
                            <w:rStyle w:val="contribtitle"/>
                          </w:rPr>
                          <w:t>DAQ Meeting in Münzenberg</w:t>
                        </w:r>
                        <w:r>
                          <w:rPr>
                            <w:color w:val="FF0000"/>
                            <w:sz w:val="20"/>
                            <w:szCs w:val="20"/>
                          </w:rPr>
                          <w:t xml:space="preserve"> (15') </w:t>
                        </w:r>
                      </w:p>
                    </w:tc>
                    <w:tc>
                      <w:tcPr>
                        <w:tcW w:w="0" w:type="auto"/>
                        <w:vAlign w:val="center"/>
                        <w:hideMark/>
                      </w:tcPr>
                      <w:p w:rsidR="001C3EB8" w:rsidRDefault="001C3EB8">
                        <w:r>
                          <w:t>Soeren Lange</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783"/>
                    <w:gridCol w:w="5138"/>
                    <w:gridCol w:w="2696"/>
                  </w:tblGrid>
                  <w:tr w:rsidR="001C3EB8">
                    <w:trPr>
                      <w:tblCellSpacing w:w="0" w:type="dxa"/>
                    </w:trPr>
                    <w:tc>
                      <w:tcPr>
                        <w:tcW w:w="0" w:type="auto"/>
                        <w:vAlign w:val="center"/>
                        <w:hideMark/>
                      </w:tcPr>
                      <w:p w:rsidR="001C3EB8" w:rsidRDefault="001C3EB8">
                        <w:r>
                          <w:t>10:45</w:t>
                        </w:r>
                      </w:p>
                    </w:tc>
                    <w:tc>
                      <w:tcPr>
                        <w:tcW w:w="0" w:type="auto"/>
                        <w:vAlign w:val="center"/>
                        <w:hideMark/>
                      </w:tcPr>
                      <w:p w:rsidR="001C3EB8" w:rsidRPr="001C3EB8" w:rsidRDefault="001C3EB8">
                        <w:pPr>
                          <w:rPr>
                            <w:lang w:val="en-US"/>
                          </w:rPr>
                        </w:pPr>
                        <w:r w:rsidRPr="001C3EB8">
                          <w:rPr>
                            <w:rStyle w:val="contribtitle"/>
                            <w:lang w:val="en-US"/>
                          </w:rPr>
                          <w:t>Air cooling tests</w:t>
                        </w:r>
                        <w:r w:rsidRPr="001C3EB8">
                          <w:rPr>
                            <w:color w:val="FF0000"/>
                            <w:sz w:val="20"/>
                            <w:szCs w:val="20"/>
                            <w:lang w:val="en-US"/>
                          </w:rPr>
                          <w:t xml:space="preserve"> (20') </w:t>
                        </w:r>
                        <w:r w:rsidRPr="001C3EB8">
                          <w:rPr>
                            <w:lang w:val="en-US"/>
                          </w:rPr>
                          <w:t>(</w:t>
                        </w:r>
                        <w:hyperlink r:id="rId12" w:history="1">
                          <w:r>
                            <w:rPr>
                              <w:noProof/>
                              <w:color w:val="0000FF"/>
                              <w:lang w:eastAsia="de-DE"/>
                            </w:rPr>
                            <w:drawing>
                              <wp:inline distT="0" distB="0" distL="0" distR="0">
                                <wp:extent cx="190500" cy="104775"/>
                                <wp:effectExtent l="19050" t="0" r="0" b="0"/>
                                <wp:docPr id="19" name="Picture 4" descr="fil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
                                          <a:hlinkClick r:id="rId12"/>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1C3EB8">
                            <w:rPr>
                              <w:rStyle w:val="Hyperlink"/>
                              <w:lang w:val="en-US"/>
                            </w:rPr>
                            <w:t> Slides</w:t>
                          </w:r>
                        </w:hyperlink>
                        <w:r w:rsidRPr="001C3EB8">
                          <w:rPr>
                            <w:lang w:val="en-US"/>
                          </w:rPr>
                          <w:t> </w:t>
                        </w:r>
                        <w:r>
                          <w:rPr>
                            <w:noProof/>
                            <w:color w:val="0000FF"/>
                            <w:lang w:eastAsia="de-DE"/>
                          </w:rPr>
                          <w:drawing>
                            <wp:inline distT="0" distB="0" distL="0" distR="0">
                              <wp:extent cx="152400" cy="152400"/>
                              <wp:effectExtent l="19050" t="0" r="0" b="0"/>
                              <wp:docPr id="18" name="Picture 5" descr="pdf fi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file">
                                        <a:hlinkClick r:id="rId13"/>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C3EB8">
                          <w:rPr>
                            <w:lang w:val="en-US"/>
                          </w:rPr>
                          <w:t xml:space="preserve">  ) </w:t>
                        </w:r>
                      </w:p>
                    </w:tc>
                    <w:tc>
                      <w:tcPr>
                        <w:tcW w:w="0" w:type="auto"/>
                        <w:vAlign w:val="center"/>
                        <w:hideMark/>
                      </w:tcPr>
                      <w:p w:rsidR="001C3EB8" w:rsidRDefault="001C3EB8">
                        <w:proofErr w:type="spellStart"/>
                        <w:r>
                          <w:t>Arantza</w:t>
                        </w:r>
                        <w:proofErr w:type="spellEnd"/>
                        <w:r>
                          <w:t xml:space="preserve"> </w:t>
                        </w:r>
                        <w:proofErr w:type="spellStart"/>
                        <w:r>
                          <w:t>Oyanguren</w:t>
                        </w:r>
                        <w:proofErr w:type="spellEnd"/>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778"/>
                    <w:gridCol w:w="6122"/>
                    <w:gridCol w:w="1717"/>
                  </w:tblGrid>
                  <w:tr w:rsidR="001C3EB8">
                    <w:trPr>
                      <w:tblCellSpacing w:w="0" w:type="dxa"/>
                    </w:trPr>
                    <w:tc>
                      <w:tcPr>
                        <w:tcW w:w="0" w:type="auto"/>
                        <w:vAlign w:val="center"/>
                        <w:hideMark/>
                      </w:tcPr>
                      <w:p w:rsidR="001C3EB8" w:rsidRDefault="001C3EB8">
                        <w:r>
                          <w:t>11:05</w:t>
                        </w:r>
                      </w:p>
                    </w:tc>
                    <w:tc>
                      <w:tcPr>
                        <w:tcW w:w="0" w:type="auto"/>
                        <w:vAlign w:val="center"/>
                        <w:hideMark/>
                      </w:tcPr>
                      <w:p w:rsidR="001C3EB8" w:rsidRDefault="001C3EB8">
                        <w:proofErr w:type="spellStart"/>
                        <w:r>
                          <w:rPr>
                            <w:rStyle w:val="contribtitle"/>
                          </w:rPr>
                          <w:t>Alignment</w:t>
                        </w:r>
                        <w:proofErr w:type="spellEnd"/>
                        <w:r>
                          <w:rPr>
                            <w:rStyle w:val="contribtitle"/>
                          </w:rPr>
                          <w:t xml:space="preserve"> Monitors</w:t>
                        </w:r>
                        <w:r>
                          <w:rPr>
                            <w:color w:val="FF0000"/>
                            <w:sz w:val="20"/>
                            <w:szCs w:val="20"/>
                          </w:rPr>
                          <w:t xml:space="preserve"> (20') </w:t>
                        </w:r>
                        <w:r>
                          <w:t>(</w:t>
                        </w:r>
                        <w:hyperlink r:id="rId14" w:history="1">
                          <w:r>
                            <w:rPr>
                              <w:noProof/>
                              <w:color w:val="0000FF"/>
                              <w:lang w:eastAsia="de-DE"/>
                            </w:rPr>
                            <w:drawing>
                              <wp:inline distT="0" distB="0" distL="0" distR="0">
                                <wp:extent cx="190500" cy="104775"/>
                                <wp:effectExtent l="19050" t="0" r="0" b="0"/>
                                <wp:docPr id="17" name="Picture 6" descr="fil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
                                          <a:hlinkClick r:id="rId14"/>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Slides</w:t>
                          </w:r>
                          <w:proofErr w:type="spellEnd"/>
                        </w:hyperlink>
                        <w:r>
                          <w:t> </w:t>
                        </w:r>
                        <w:r>
                          <w:rPr>
                            <w:noProof/>
                            <w:color w:val="0000FF"/>
                            <w:lang w:eastAsia="de-DE"/>
                          </w:rPr>
                          <w:drawing>
                            <wp:inline distT="0" distB="0" distL="0" distR="0">
                              <wp:extent cx="152400" cy="152400"/>
                              <wp:effectExtent l="19050" t="0" r="0" b="0"/>
                              <wp:docPr id="4" name="Picture 7" descr="pdf fi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file">
                                        <a:hlinkClick r:id="rId15"/>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w:t>
                        </w:r>
                        <w:r>
                          <w:rPr>
                            <w:noProof/>
                            <w:color w:val="0000FF"/>
                            <w:lang w:eastAsia="de-DE"/>
                          </w:rPr>
                          <w:drawing>
                            <wp:inline distT="0" distB="0" distL="0" distR="0">
                              <wp:extent cx="152400" cy="152400"/>
                              <wp:effectExtent l="19050" t="0" r="0" b="0"/>
                              <wp:docPr id="3" name="Picture 8" descr="ppt fi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t file">
                                        <a:hlinkClick r:id="rId16"/>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1C3EB8" w:rsidRDefault="001C3EB8">
                        <w:r>
                          <w:t>David Moya</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715"/>
                    <w:gridCol w:w="5245"/>
                    <w:gridCol w:w="2657"/>
                  </w:tblGrid>
                  <w:tr w:rsidR="001C3EB8">
                    <w:trPr>
                      <w:tblCellSpacing w:w="0" w:type="dxa"/>
                    </w:trPr>
                    <w:tc>
                      <w:tcPr>
                        <w:tcW w:w="0" w:type="auto"/>
                        <w:vAlign w:val="center"/>
                        <w:hideMark/>
                      </w:tcPr>
                      <w:p w:rsidR="001C3EB8" w:rsidRDefault="001C3EB8">
                        <w:r>
                          <w:t>11:25</w:t>
                        </w:r>
                      </w:p>
                    </w:tc>
                    <w:tc>
                      <w:tcPr>
                        <w:tcW w:w="0" w:type="auto"/>
                        <w:vAlign w:val="center"/>
                        <w:hideMark/>
                      </w:tcPr>
                      <w:p w:rsidR="001C3EB8" w:rsidRDefault="001C3EB8">
                        <w:r>
                          <w:rPr>
                            <w:rStyle w:val="contribtitle"/>
                          </w:rPr>
                          <w:t xml:space="preserve">B2GM </w:t>
                        </w:r>
                        <w:proofErr w:type="spellStart"/>
                        <w:r>
                          <w:rPr>
                            <w:rStyle w:val="contribtitle"/>
                          </w:rPr>
                          <w:t>Presentations</w:t>
                        </w:r>
                        <w:proofErr w:type="spellEnd"/>
                        <w:r>
                          <w:rPr>
                            <w:color w:val="FF0000"/>
                            <w:sz w:val="20"/>
                            <w:szCs w:val="20"/>
                          </w:rPr>
                          <w:t xml:space="preserve"> (20') </w:t>
                        </w:r>
                        <w:r>
                          <w:t>(</w:t>
                        </w:r>
                        <w:hyperlink r:id="rId18" w:history="1">
                          <w:r>
                            <w:rPr>
                              <w:noProof/>
                              <w:color w:val="0000FF"/>
                              <w:lang w:eastAsia="de-DE"/>
                            </w:rPr>
                            <w:drawing>
                              <wp:inline distT="0" distB="0" distL="0" distR="0">
                                <wp:extent cx="190500" cy="104775"/>
                                <wp:effectExtent l="19050" t="0" r="0" b="0"/>
                                <wp:docPr id="2" name="Picture 9" descr="fil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
                                          <a:hlinkClick r:id="rId18"/>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Slides</w:t>
                          </w:r>
                          <w:proofErr w:type="spellEnd"/>
                        </w:hyperlink>
                        <w:r>
                          <w:t> </w:t>
                        </w:r>
                        <w:r>
                          <w:rPr>
                            <w:noProof/>
                            <w:color w:val="0000FF"/>
                            <w:lang w:eastAsia="de-DE"/>
                          </w:rPr>
                          <w:drawing>
                            <wp:inline distT="0" distB="0" distL="0" distR="0">
                              <wp:extent cx="152400" cy="152400"/>
                              <wp:effectExtent l="19050" t="0" r="0" b="0"/>
                              <wp:docPr id="1" name="Picture 10" descr="ppt fi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t file">
                                        <a:hlinkClick r:id="rId19"/>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1C3EB8" w:rsidRDefault="001C3EB8">
                        <w:r>
                          <w:t>Hans-Günther Moser</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1328"/>
                    <w:gridCol w:w="7228"/>
                    <w:gridCol w:w="61"/>
                  </w:tblGrid>
                  <w:tr w:rsidR="001C3EB8">
                    <w:trPr>
                      <w:tblCellSpacing w:w="0" w:type="dxa"/>
                    </w:trPr>
                    <w:tc>
                      <w:tcPr>
                        <w:tcW w:w="0" w:type="auto"/>
                        <w:vAlign w:val="center"/>
                        <w:hideMark/>
                      </w:tcPr>
                      <w:p w:rsidR="001C3EB8" w:rsidRDefault="001C3EB8">
                        <w:r>
                          <w:t>11:45</w:t>
                        </w:r>
                      </w:p>
                    </w:tc>
                    <w:tc>
                      <w:tcPr>
                        <w:tcW w:w="0" w:type="auto"/>
                        <w:vAlign w:val="center"/>
                        <w:hideMark/>
                      </w:tcPr>
                      <w:p w:rsidR="001C3EB8" w:rsidRDefault="001C3EB8">
                        <w:r>
                          <w:rPr>
                            <w:rStyle w:val="contribtitle"/>
                          </w:rPr>
                          <w:t>AOB</w:t>
                        </w:r>
                        <w:r>
                          <w:rPr>
                            <w:color w:val="FF0000"/>
                            <w:sz w:val="20"/>
                            <w:szCs w:val="20"/>
                          </w:rPr>
                          <w:t xml:space="preserve"> (20') </w:t>
                        </w:r>
                      </w:p>
                    </w:tc>
                    <w:tc>
                      <w:tcPr>
                        <w:tcW w:w="0" w:type="auto"/>
                        <w:vAlign w:val="center"/>
                        <w:hideMark/>
                      </w:tcPr>
                      <w:p w:rsidR="001C3EB8" w:rsidRDefault="001C3EB8"/>
                    </w:tc>
                  </w:tr>
                  <w:tr w:rsidR="001C3EB8">
                    <w:trPr>
                      <w:tblCellSpacing w:w="0" w:type="dxa"/>
                    </w:trPr>
                    <w:tc>
                      <w:tcPr>
                        <w:tcW w:w="0" w:type="auto"/>
                        <w:vAlign w:val="center"/>
                        <w:hideMark/>
                      </w:tcPr>
                      <w:p w:rsidR="001C3EB8" w:rsidRDefault="001C3EB8"/>
                    </w:tc>
                    <w:tc>
                      <w:tcPr>
                        <w:tcW w:w="0" w:type="auto"/>
                        <w:gridSpan w:val="2"/>
                        <w:vAlign w:val="center"/>
                        <w:hideMark/>
                      </w:tcPr>
                      <w:tbl>
                        <w:tblPr>
                          <w:tblW w:w="5000" w:type="pct"/>
                          <w:tblCellSpacing w:w="0" w:type="dxa"/>
                          <w:tblCellMar>
                            <w:left w:w="0" w:type="dxa"/>
                            <w:right w:w="0" w:type="dxa"/>
                          </w:tblCellMar>
                          <w:tblLook w:val="04A0"/>
                        </w:tblPr>
                        <w:tblGrid>
                          <w:gridCol w:w="7289"/>
                        </w:tblGrid>
                        <w:tr w:rsidR="001C3EB8">
                          <w:trPr>
                            <w:tblCellSpacing w:w="0" w:type="dxa"/>
                          </w:trPr>
                          <w:tc>
                            <w:tcPr>
                              <w:tcW w:w="0" w:type="auto"/>
                              <w:vAlign w:val="center"/>
                              <w:hideMark/>
                            </w:tcPr>
                            <w:p w:rsidR="001C3EB8" w:rsidRDefault="001C3EB8">
                              <w:pPr>
                                <w:pStyle w:val="HTMLPreformatted"/>
                              </w:pPr>
                              <w:proofErr w:type="spellStart"/>
                              <w:r>
                                <w:t>next</w:t>
                              </w:r>
                              <w:proofErr w:type="spellEnd"/>
                              <w:r>
                                <w:t xml:space="preserve"> </w:t>
                              </w:r>
                              <w:proofErr w:type="spellStart"/>
                              <w:r>
                                <w:t>meeting</w:t>
                              </w:r>
                              <w:proofErr w:type="spellEnd"/>
                              <w:r>
                                <w:t xml:space="preserve">: </w:t>
                              </w:r>
                              <w:proofErr w:type="spellStart"/>
                              <w:r>
                                <w:t>July</w:t>
                              </w:r>
                              <w:proofErr w:type="spellEnd"/>
                              <w:r>
                                <w:t xml:space="preserve"> 26 (?)</w:t>
                              </w:r>
                            </w:p>
                          </w:tc>
                        </w:tr>
                      </w:tbl>
                      <w:p w:rsidR="001C3EB8" w:rsidRDefault="001C3EB8"/>
                    </w:tc>
                  </w:tr>
                </w:tbl>
                <w:p w:rsidR="001C3EB8" w:rsidRDefault="001C3EB8"/>
              </w:tc>
            </w:tr>
          </w:tbl>
          <w:p w:rsidR="003127C2" w:rsidRPr="00094D90" w:rsidRDefault="003127C2">
            <w:pPr>
              <w:jc w:val="center"/>
              <w:rPr>
                <w:lang w:val="en-US"/>
              </w:rPr>
            </w:pPr>
          </w:p>
        </w:tc>
      </w:tr>
    </w:tbl>
    <w:p w:rsidR="003127C2" w:rsidRPr="00094D90" w:rsidRDefault="003127C2" w:rsidP="003127C2">
      <w:pPr>
        <w:rPr>
          <w:vanish/>
          <w:lang w:val="en-US"/>
        </w:rPr>
      </w:pPr>
    </w:p>
    <w:tbl>
      <w:tblPr>
        <w:tblW w:w="5000" w:type="pct"/>
        <w:tblCellSpacing w:w="0" w:type="dxa"/>
        <w:tblCellMar>
          <w:left w:w="0" w:type="dxa"/>
          <w:right w:w="0" w:type="dxa"/>
        </w:tblCellMar>
        <w:tblLook w:val="04A0"/>
      </w:tblPr>
      <w:tblGrid>
        <w:gridCol w:w="135"/>
        <w:gridCol w:w="8937"/>
      </w:tblGrid>
      <w:tr w:rsidR="003127C2" w:rsidRPr="00094D90" w:rsidTr="003127C2">
        <w:trPr>
          <w:tblCellSpacing w:w="0" w:type="dxa"/>
        </w:trPr>
        <w:tc>
          <w:tcPr>
            <w:tcW w:w="135" w:type="dxa"/>
            <w:vAlign w:val="center"/>
            <w:hideMark/>
          </w:tcPr>
          <w:p w:rsidR="003127C2" w:rsidRPr="00094D90" w:rsidRDefault="003127C2">
            <w:pPr>
              <w:rPr>
                <w:lang w:val="en-US"/>
              </w:rPr>
            </w:pPr>
          </w:p>
        </w:tc>
        <w:tc>
          <w:tcPr>
            <w:tcW w:w="0" w:type="auto"/>
            <w:vAlign w:val="center"/>
            <w:hideMark/>
          </w:tcPr>
          <w:p w:rsidR="003127C2" w:rsidRPr="00094D90" w:rsidRDefault="003127C2">
            <w:pPr>
              <w:rPr>
                <w:lang w:val="en-US"/>
              </w:rPr>
            </w:pPr>
          </w:p>
        </w:tc>
      </w:tr>
    </w:tbl>
    <w:p w:rsidR="00BD570F" w:rsidRPr="001D4105" w:rsidRDefault="00BD570F" w:rsidP="00BD570F">
      <w:pPr>
        <w:rPr>
          <w:vanish/>
          <w:lang w:val="en-GB"/>
        </w:rPr>
      </w:pP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1C3EB8">
        <w:rPr>
          <w:rFonts w:ascii="Helvetica" w:hAnsi="Helvetica"/>
          <w:lang w:val="en-GB"/>
        </w:rPr>
        <w:t>Id=1320</w:t>
      </w:r>
      <w:r w:rsidR="006F4A6C" w:rsidRPr="00B21206">
        <w:rPr>
          <w:rFonts w:ascii="Helvetica" w:hAnsi="Helvetica"/>
          <w:lang w:val="en-GB"/>
        </w:rPr>
        <w:t>)</w:t>
      </w:r>
    </w:p>
    <w:p w:rsidR="008F3C2D" w:rsidRPr="00B21206" w:rsidRDefault="008F3C2D">
      <w:pPr>
        <w:rPr>
          <w:rFonts w:ascii="Helvetica" w:hAnsi="Helvetica"/>
          <w:lang w:val="en-GB"/>
        </w:rPr>
      </w:pPr>
    </w:p>
    <w:p w:rsidR="008A009C" w:rsidRDefault="00B86049" w:rsidP="008A009C">
      <w:pPr>
        <w:pStyle w:val="ListParagraph"/>
        <w:numPr>
          <w:ilvl w:val="0"/>
          <w:numId w:val="1"/>
        </w:numPr>
        <w:rPr>
          <w:rFonts w:ascii="Helvetica" w:hAnsi="Helvetica"/>
          <w:b/>
          <w:lang w:val="en-GB"/>
        </w:rPr>
      </w:pPr>
      <w:r>
        <w:rPr>
          <w:rFonts w:ascii="Helvetica" w:hAnsi="Helvetica"/>
          <w:b/>
          <w:lang w:val="en-GB"/>
        </w:rPr>
        <w:t xml:space="preserve">Tracking and CO2 </w:t>
      </w:r>
      <w:r w:rsidR="008A009C">
        <w:rPr>
          <w:rFonts w:ascii="Helvetica" w:hAnsi="Helvetica"/>
          <w:b/>
          <w:lang w:val="en-GB"/>
        </w:rPr>
        <w:t xml:space="preserve">Cooling (C. </w:t>
      </w:r>
      <w:proofErr w:type="spellStart"/>
      <w:r w:rsidR="008A009C">
        <w:rPr>
          <w:rFonts w:ascii="Helvetica" w:hAnsi="Helvetica"/>
          <w:b/>
          <w:lang w:val="en-GB"/>
        </w:rPr>
        <w:t>Kiesling</w:t>
      </w:r>
      <w:proofErr w:type="spellEnd"/>
      <w:r w:rsidR="008A009C">
        <w:rPr>
          <w:rFonts w:ascii="Helvetica" w:hAnsi="Helvetica"/>
          <w:b/>
          <w:lang w:val="en-GB"/>
        </w:rPr>
        <w:t>)</w:t>
      </w:r>
    </w:p>
    <w:p w:rsidR="004D0E6B" w:rsidRPr="00F84BD8" w:rsidRDefault="00F84BD8" w:rsidP="00F84BD8">
      <w:pPr>
        <w:ind w:firstLine="708"/>
        <w:rPr>
          <w:rFonts w:ascii="Helvetica" w:hAnsi="Helvetica"/>
          <w:lang w:val="en-GB"/>
        </w:rPr>
      </w:pPr>
      <w:r w:rsidRPr="00F84BD8">
        <w:rPr>
          <w:rFonts w:ascii="Helvetica" w:hAnsi="Helvetica"/>
          <w:lang w:val="en-GB"/>
        </w:rPr>
        <w:t xml:space="preserve">Firstly, some news: </w:t>
      </w:r>
    </w:p>
    <w:p w:rsidR="00F84BD8" w:rsidRDefault="00F84BD8" w:rsidP="008A009C">
      <w:pPr>
        <w:pStyle w:val="ListParagraph"/>
        <w:ind w:left="1416"/>
        <w:rPr>
          <w:rFonts w:ascii="Helvetica" w:hAnsi="Helvetica"/>
          <w:lang w:val="en-GB"/>
        </w:rPr>
      </w:pPr>
      <w:r>
        <w:rPr>
          <w:rFonts w:ascii="Helvetica" w:hAnsi="Helvetica"/>
          <w:lang w:val="en-GB"/>
        </w:rPr>
        <w:t>The ground breaking ceremony will be on November 18 (during the B2GM from 16.11-20.11).</w:t>
      </w:r>
    </w:p>
    <w:p w:rsidR="00F84BD8" w:rsidRDefault="00F84BD8" w:rsidP="008A009C">
      <w:pPr>
        <w:pStyle w:val="ListParagraph"/>
        <w:ind w:left="1416"/>
        <w:rPr>
          <w:rFonts w:ascii="Helvetica" w:hAnsi="Helvetica"/>
          <w:lang w:val="en-GB"/>
        </w:rPr>
      </w:pPr>
      <w:r>
        <w:rPr>
          <w:rFonts w:ascii="Helvetica" w:hAnsi="Helvetica"/>
          <w:lang w:val="en-GB"/>
        </w:rPr>
        <w:t>The contract with ITA on grounding has been signed</w:t>
      </w:r>
    </w:p>
    <w:p w:rsidR="00F84BD8" w:rsidRDefault="00F84BD8" w:rsidP="008A009C">
      <w:pPr>
        <w:pStyle w:val="ListParagraph"/>
        <w:ind w:left="1416"/>
        <w:rPr>
          <w:rFonts w:ascii="Helvetica" w:hAnsi="Helvetica"/>
          <w:lang w:val="en-GB"/>
        </w:rPr>
      </w:pPr>
    </w:p>
    <w:p w:rsidR="00F84BD8" w:rsidRDefault="00F84BD8" w:rsidP="00F84BD8">
      <w:pPr>
        <w:ind w:left="705"/>
        <w:rPr>
          <w:rFonts w:ascii="Helvetica" w:hAnsi="Helvetica"/>
          <w:lang w:val="en-GB"/>
        </w:rPr>
      </w:pPr>
      <w:r>
        <w:rPr>
          <w:rFonts w:ascii="Helvetica" w:hAnsi="Helvetica"/>
          <w:lang w:val="en-GB"/>
        </w:rPr>
        <w:t>A meeting of the tracking group took place in Karlsruhe June 16, 17. Topics were track finding using Conformal Mapping, Hough Transform and Cellular Automata and track fitting with GENFIT.</w:t>
      </w:r>
    </w:p>
    <w:p w:rsidR="00F84BD8" w:rsidRDefault="00F84BD8" w:rsidP="00F84BD8">
      <w:pPr>
        <w:ind w:left="705"/>
        <w:rPr>
          <w:rFonts w:ascii="Helvetica" w:hAnsi="Helvetica"/>
          <w:lang w:val="en-GB"/>
        </w:rPr>
      </w:pPr>
      <w:r>
        <w:rPr>
          <w:rFonts w:ascii="Helvetica" w:hAnsi="Helvetica"/>
          <w:lang w:val="en-GB"/>
        </w:rPr>
        <w:t xml:space="preserve">Especially interesting is the Cellular Automate which finds low momentum tracks (&gt; 75 </w:t>
      </w:r>
      <w:proofErr w:type="spellStart"/>
      <w:r>
        <w:rPr>
          <w:rFonts w:ascii="Helvetica" w:hAnsi="Helvetica"/>
          <w:lang w:val="en-GB"/>
        </w:rPr>
        <w:t>MeV</w:t>
      </w:r>
      <w:proofErr w:type="spellEnd"/>
      <w:r>
        <w:rPr>
          <w:rFonts w:ascii="Helvetica" w:hAnsi="Helvetica"/>
          <w:lang w:val="en-GB"/>
        </w:rPr>
        <w:t>/c) with high efficiency using SVD only. It is proposed to extend it including PXD data, which is possible in the ATCA.</w:t>
      </w:r>
    </w:p>
    <w:p w:rsidR="00F84BD8" w:rsidRDefault="00F84BD8" w:rsidP="00F84BD8">
      <w:pPr>
        <w:ind w:left="705"/>
        <w:rPr>
          <w:rFonts w:ascii="Helvetica" w:hAnsi="Helvetica"/>
          <w:lang w:val="en-GB"/>
        </w:rPr>
      </w:pPr>
    </w:p>
    <w:p w:rsidR="001109AF" w:rsidRDefault="00F84BD8" w:rsidP="00F84BD8">
      <w:pPr>
        <w:ind w:left="705"/>
        <w:rPr>
          <w:rFonts w:ascii="Helvetica" w:hAnsi="Helvetica"/>
          <w:lang w:val="en-GB"/>
        </w:rPr>
      </w:pPr>
      <w:r>
        <w:rPr>
          <w:rFonts w:ascii="Helvetica" w:hAnsi="Helvetica"/>
          <w:lang w:val="en-GB"/>
        </w:rPr>
        <w:t>A meeting on CO2 cooling happened at CERN on June 20. It was reported that KEK has started its own CO2 cooling project, for ILC. So far they have built an open CO2 system working at room temperature. A closed system is now under construction.</w:t>
      </w:r>
    </w:p>
    <w:p w:rsidR="001109AF" w:rsidRDefault="001109AF" w:rsidP="00F84BD8">
      <w:pPr>
        <w:ind w:left="705"/>
        <w:rPr>
          <w:rFonts w:ascii="Helvetica" w:hAnsi="Helvetica"/>
          <w:lang w:val="en-GB"/>
        </w:rPr>
      </w:pPr>
      <w:r>
        <w:rPr>
          <w:rFonts w:ascii="Helvetica" w:hAnsi="Helvetica"/>
          <w:lang w:val="en-GB"/>
        </w:rPr>
        <w:t>The work on the MARCO test system has started (Immanuel is at CERN since June 6) and should be ready end of this year. The good news is that the parts will be paid by CERN. Assembly will be mainly in Munich.</w:t>
      </w:r>
    </w:p>
    <w:p w:rsidR="00F84BD8" w:rsidRDefault="00F84BD8" w:rsidP="00F84BD8">
      <w:pPr>
        <w:ind w:left="705"/>
        <w:rPr>
          <w:rFonts w:ascii="Helvetica" w:hAnsi="Helvetica"/>
          <w:lang w:val="en-GB"/>
        </w:rPr>
      </w:pPr>
      <w:r>
        <w:rPr>
          <w:rFonts w:ascii="Helvetica" w:hAnsi="Helvetica"/>
          <w:lang w:val="en-GB"/>
        </w:rPr>
        <w:t xml:space="preserve"> </w:t>
      </w:r>
    </w:p>
    <w:p w:rsidR="001109AF" w:rsidRDefault="001109AF" w:rsidP="00F84BD8">
      <w:pPr>
        <w:ind w:left="705"/>
        <w:rPr>
          <w:rFonts w:ascii="Helvetica" w:hAnsi="Helvetica"/>
          <w:lang w:val="en-GB"/>
        </w:rPr>
      </w:pPr>
      <w:r>
        <w:rPr>
          <w:rFonts w:ascii="Helvetica" w:hAnsi="Helvetica"/>
          <w:lang w:val="en-GB"/>
        </w:rPr>
        <w:t>Then three units of the final system (</w:t>
      </w:r>
      <w:proofErr w:type="spellStart"/>
      <w:r>
        <w:rPr>
          <w:rFonts w:ascii="Helvetica" w:hAnsi="Helvetica"/>
          <w:lang w:val="en-GB"/>
        </w:rPr>
        <w:t>IBBelLe</w:t>
      </w:r>
      <w:proofErr w:type="spellEnd"/>
      <w:r>
        <w:rPr>
          <w:rFonts w:ascii="Helvetica" w:hAnsi="Helvetica"/>
          <w:lang w:val="en-GB"/>
        </w:rPr>
        <w:t xml:space="preserve">) will be built, one for CERN (ATLAS), one for tests at MPI/Vienna and one for Belle II. </w:t>
      </w:r>
    </w:p>
    <w:p w:rsidR="001109AF" w:rsidRDefault="001109AF" w:rsidP="00F84BD8">
      <w:pPr>
        <w:ind w:left="705"/>
        <w:rPr>
          <w:rFonts w:ascii="Helvetica" w:hAnsi="Helvetica"/>
          <w:lang w:val="en-GB"/>
        </w:rPr>
      </w:pPr>
      <w:r>
        <w:rPr>
          <w:rFonts w:ascii="Helvetica" w:hAnsi="Helvetica"/>
          <w:lang w:val="en-GB"/>
        </w:rPr>
        <w:lastRenderedPageBreak/>
        <w:t xml:space="preserve">There was some discussion about safety regulations and requirements for such systems in Japan. Even the KEK CO2 group does not know. They will consult the government </w:t>
      </w:r>
      <w:r w:rsidR="00FB73B5">
        <w:rPr>
          <w:rFonts w:ascii="Helvetica" w:hAnsi="Helvetica"/>
          <w:lang w:val="en-GB"/>
        </w:rPr>
        <w:t>(</w:t>
      </w:r>
      <w:proofErr w:type="spellStart"/>
      <w:r w:rsidR="00FB73B5">
        <w:rPr>
          <w:rFonts w:ascii="Helvetica" w:hAnsi="Helvetica"/>
          <w:lang w:val="en-GB"/>
        </w:rPr>
        <w:t>Shuji</w:t>
      </w:r>
      <w:proofErr w:type="spellEnd"/>
      <w:r w:rsidR="00FB73B5">
        <w:rPr>
          <w:rFonts w:ascii="Helvetica" w:hAnsi="Helvetica"/>
          <w:lang w:val="en-GB"/>
        </w:rPr>
        <w:t>-san will follow</w:t>
      </w:r>
      <w:r>
        <w:rPr>
          <w:rFonts w:ascii="Helvetica" w:hAnsi="Helvetica"/>
          <w:lang w:val="en-GB"/>
        </w:rPr>
        <w:t xml:space="preserve"> up</w:t>
      </w:r>
      <w:r w:rsidR="00C75551">
        <w:rPr>
          <w:rFonts w:ascii="Helvetica" w:hAnsi="Helvetica"/>
          <w:lang w:val="en-GB"/>
        </w:rPr>
        <w:t>). Perhaps</w:t>
      </w:r>
      <w:r w:rsidR="00FB73B5">
        <w:rPr>
          <w:rFonts w:ascii="Helvetica" w:hAnsi="Helvetica"/>
          <w:lang w:val="en-GB"/>
        </w:rPr>
        <w:t xml:space="preserve"> a German TÜV certification could be acknowledged in Japan.</w:t>
      </w:r>
    </w:p>
    <w:p w:rsidR="00FB73B5" w:rsidRDefault="00FB73B5" w:rsidP="00F84BD8">
      <w:pPr>
        <w:ind w:left="705"/>
        <w:rPr>
          <w:rFonts w:ascii="Helvetica" w:hAnsi="Helvetica"/>
          <w:lang w:val="en-GB"/>
        </w:rPr>
      </w:pPr>
    </w:p>
    <w:p w:rsidR="00FB73B5" w:rsidRDefault="00FB73B5" w:rsidP="00F84BD8">
      <w:pPr>
        <w:ind w:left="705"/>
        <w:rPr>
          <w:rFonts w:ascii="Helvetica" w:hAnsi="Helvetica"/>
          <w:lang w:val="en-GB"/>
        </w:rPr>
      </w:pPr>
      <w:r>
        <w:rPr>
          <w:rFonts w:ascii="Helvetica" w:hAnsi="Helvetica"/>
          <w:lang w:val="en-GB"/>
        </w:rPr>
        <w:t>Test</w:t>
      </w:r>
      <w:r w:rsidR="00C75551">
        <w:rPr>
          <w:rFonts w:ascii="Helvetica" w:hAnsi="Helvetica"/>
          <w:lang w:val="en-GB"/>
        </w:rPr>
        <w:t xml:space="preserve"> </w:t>
      </w:r>
      <w:r>
        <w:rPr>
          <w:rFonts w:ascii="Helvetica" w:hAnsi="Helvetica"/>
          <w:lang w:val="en-GB"/>
        </w:rPr>
        <w:t xml:space="preserve">beam will be in October (3-12) together with SVD. </w:t>
      </w:r>
    </w:p>
    <w:p w:rsidR="00F84BD8" w:rsidRDefault="00F84BD8" w:rsidP="00F84BD8">
      <w:pPr>
        <w:ind w:left="705"/>
        <w:rPr>
          <w:rFonts w:ascii="Helvetica" w:hAnsi="Helvetica"/>
          <w:lang w:val="en-GB"/>
        </w:rPr>
      </w:pPr>
    </w:p>
    <w:p w:rsidR="00F84BD8" w:rsidRDefault="00F84BD8" w:rsidP="00F84BD8">
      <w:pPr>
        <w:ind w:left="705"/>
        <w:rPr>
          <w:rFonts w:ascii="Helvetica" w:hAnsi="Helvetica"/>
          <w:lang w:val="en-GB"/>
        </w:rPr>
      </w:pPr>
    </w:p>
    <w:p w:rsidR="00F84BD8" w:rsidRPr="00F84BD8" w:rsidRDefault="00F84BD8" w:rsidP="00F84BD8">
      <w:pPr>
        <w:ind w:left="705"/>
        <w:rPr>
          <w:rFonts w:ascii="Helvetica" w:hAnsi="Helvetica"/>
          <w:lang w:val="en-GB"/>
        </w:rPr>
      </w:pPr>
    </w:p>
    <w:p w:rsidR="008A009C" w:rsidRPr="00C75551" w:rsidRDefault="00C75551" w:rsidP="008A009C">
      <w:pPr>
        <w:pStyle w:val="ListParagraph"/>
        <w:numPr>
          <w:ilvl w:val="0"/>
          <w:numId w:val="1"/>
        </w:numPr>
        <w:rPr>
          <w:rFonts w:ascii="Helvetica" w:hAnsi="Helvetica"/>
          <w:b/>
        </w:rPr>
      </w:pPr>
      <w:r w:rsidRPr="00C75551">
        <w:rPr>
          <w:rFonts w:ascii="Helvetica" w:hAnsi="Helvetica"/>
          <w:b/>
        </w:rPr>
        <w:t>DAQ Meeting in Münzenberg (Sören Lange)</w:t>
      </w:r>
    </w:p>
    <w:p w:rsidR="00C75551" w:rsidRDefault="00C75551" w:rsidP="00C75551">
      <w:pPr>
        <w:pStyle w:val="ListParagraph"/>
        <w:rPr>
          <w:rFonts w:ascii="Helvetica" w:hAnsi="Helvetica"/>
          <w:lang w:val="en-GB"/>
        </w:rPr>
      </w:pPr>
      <w:r>
        <w:rPr>
          <w:rFonts w:ascii="Helvetica" w:hAnsi="Helvetica"/>
          <w:lang w:val="en-GB"/>
        </w:rPr>
        <w:t xml:space="preserve">Some important decisions were taken at </w:t>
      </w:r>
      <w:proofErr w:type="spellStart"/>
      <w:r>
        <w:rPr>
          <w:rFonts w:ascii="Helvetica" w:hAnsi="Helvetica"/>
          <w:lang w:val="en-GB"/>
        </w:rPr>
        <w:t>Münzenberg</w:t>
      </w:r>
      <w:proofErr w:type="spellEnd"/>
      <w:r>
        <w:rPr>
          <w:rFonts w:ascii="Helvetica" w:hAnsi="Helvetica"/>
          <w:lang w:val="en-GB"/>
        </w:rPr>
        <w:t xml:space="preserve">: </w:t>
      </w:r>
    </w:p>
    <w:p w:rsidR="00C75551" w:rsidRDefault="00C75551" w:rsidP="00C75551">
      <w:pPr>
        <w:pStyle w:val="ListParagraph"/>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The PXD readout will be based on ATCA (performance demonstrated), the work on the PC based system will continue as backup. The decision will be announced at the B2GM.</w:t>
      </w:r>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 xml:space="preserve">The fast 6.5 </w:t>
      </w:r>
      <w:proofErr w:type="spellStart"/>
      <w:r>
        <w:rPr>
          <w:rFonts w:ascii="Helvetica" w:hAnsi="Helvetica"/>
          <w:lang w:val="en-GB"/>
        </w:rPr>
        <w:t>GBit</w:t>
      </w:r>
      <w:proofErr w:type="spellEnd"/>
      <w:r>
        <w:rPr>
          <w:rFonts w:ascii="Helvetica" w:hAnsi="Helvetica"/>
          <w:lang w:val="en-GB"/>
        </w:rPr>
        <w:t>/s optical links will be used (with slower links there is not enough bandwidth for multiple triggers).</w:t>
      </w:r>
    </w:p>
    <w:p w:rsidR="00C75551" w:rsidRDefault="00C75551" w:rsidP="00C75551">
      <w:pPr>
        <w:pStyle w:val="ListParagraph"/>
        <w:ind w:left="1410"/>
        <w:rPr>
          <w:rFonts w:ascii="Helvetica" w:hAnsi="Helvetica"/>
          <w:lang w:val="en-GB"/>
        </w:rPr>
      </w:pPr>
    </w:p>
    <w:p w:rsidR="008A009C" w:rsidRDefault="00C75551" w:rsidP="00C75551">
      <w:pPr>
        <w:pStyle w:val="ListParagraph"/>
        <w:ind w:left="1410"/>
        <w:rPr>
          <w:rFonts w:ascii="Helvetica" w:hAnsi="Helvetica"/>
          <w:lang w:val="en-GB"/>
        </w:rPr>
      </w:pPr>
      <w:r>
        <w:rPr>
          <w:rFonts w:ascii="Helvetica" w:hAnsi="Helvetica"/>
          <w:lang w:val="en-GB"/>
        </w:rPr>
        <w:t xml:space="preserve">The last frame before injection will be transferred completely for monitoring and pedestal update. The readout system will be prepared for this. The switching to this mode is not </w:t>
      </w:r>
      <w:proofErr w:type="gramStart"/>
      <w:r>
        <w:rPr>
          <w:rFonts w:ascii="Helvetica" w:hAnsi="Helvetica"/>
          <w:lang w:val="en-GB"/>
        </w:rPr>
        <w:t>trivial,</w:t>
      </w:r>
      <w:proofErr w:type="gramEnd"/>
      <w:r>
        <w:rPr>
          <w:rFonts w:ascii="Helvetica" w:hAnsi="Helvetica"/>
          <w:lang w:val="en-GB"/>
        </w:rPr>
        <w:t xml:space="preserve"> it will be done in the DHH. The machine will send a trigger 70µs (?) before the injection. The injection frequency will be stable (50 Hz).</w:t>
      </w:r>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The back</w:t>
      </w:r>
      <w:r w:rsidR="00D80A51">
        <w:rPr>
          <w:rFonts w:ascii="Helvetica" w:hAnsi="Helvetica"/>
          <w:lang w:val="en-GB"/>
        </w:rPr>
        <w:t>g</w:t>
      </w:r>
      <w:r>
        <w:rPr>
          <w:rFonts w:ascii="Helvetica" w:hAnsi="Helvetica"/>
          <w:lang w:val="en-GB"/>
        </w:rPr>
        <w:t>round seems to be rather uniform, so no sophisticated load balance is needed.</w:t>
      </w:r>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 xml:space="preserve">Location of the crates: PXD ATCA in the server room. </w:t>
      </w:r>
      <w:proofErr w:type="spellStart"/>
      <w:proofErr w:type="gramStart"/>
      <w:r>
        <w:rPr>
          <w:rFonts w:ascii="Helvetica" w:hAnsi="Helvetica"/>
          <w:lang w:val="en-GB"/>
        </w:rPr>
        <w:t>Datacon</w:t>
      </w:r>
      <w:proofErr w:type="spellEnd"/>
      <w:r>
        <w:rPr>
          <w:rFonts w:ascii="Helvetica" w:hAnsi="Helvetica"/>
          <w:lang w:val="en-GB"/>
        </w:rPr>
        <w:t xml:space="preserve"> ATCA probably close to SVD.</w:t>
      </w:r>
      <w:proofErr w:type="gramEnd"/>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 xml:space="preserve">The data format for the DHP proposed by Hans </w:t>
      </w:r>
      <w:proofErr w:type="spellStart"/>
      <w:r>
        <w:rPr>
          <w:rFonts w:ascii="Helvetica" w:hAnsi="Helvetica"/>
          <w:lang w:val="en-GB"/>
        </w:rPr>
        <w:t>Krüger</w:t>
      </w:r>
      <w:proofErr w:type="spellEnd"/>
      <w:r>
        <w:rPr>
          <w:rFonts w:ascii="Helvetica" w:hAnsi="Helvetica"/>
          <w:lang w:val="en-GB"/>
        </w:rPr>
        <w:t xml:space="preserve"> at the </w:t>
      </w:r>
      <w:proofErr w:type="spellStart"/>
      <w:r>
        <w:rPr>
          <w:rFonts w:ascii="Helvetica" w:hAnsi="Helvetica"/>
          <w:lang w:val="en-GB"/>
        </w:rPr>
        <w:t>Ringberg</w:t>
      </w:r>
      <w:proofErr w:type="spellEnd"/>
      <w:r>
        <w:rPr>
          <w:rFonts w:ascii="Helvetica" w:hAnsi="Helvetica"/>
          <w:lang w:val="en-GB"/>
        </w:rPr>
        <w:t xml:space="preserve"> workshop was adopted.</w:t>
      </w:r>
    </w:p>
    <w:p w:rsidR="00C75551" w:rsidRDefault="00C75551" w:rsidP="00C75551">
      <w:pPr>
        <w:pStyle w:val="ListParagraph"/>
        <w:ind w:left="1410"/>
        <w:rPr>
          <w:rFonts w:ascii="Helvetica" w:hAnsi="Helvetica"/>
          <w:lang w:val="en-GB"/>
        </w:rPr>
      </w:pPr>
    </w:p>
    <w:p w:rsidR="008A009C" w:rsidRDefault="008A009C" w:rsidP="008A009C">
      <w:pPr>
        <w:rPr>
          <w:rFonts w:ascii="Helvetica" w:hAnsi="Helvetica"/>
          <w:lang w:val="en-GB"/>
        </w:rPr>
      </w:pPr>
    </w:p>
    <w:p w:rsidR="008A009C" w:rsidRPr="004D0E6B" w:rsidRDefault="00C75551" w:rsidP="008A009C">
      <w:pPr>
        <w:pStyle w:val="ListParagraph"/>
        <w:numPr>
          <w:ilvl w:val="0"/>
          <w:numId w:val="1"/>
        </w:numPr>
        <w:rPr>
          <w:rFonts w:ascii="Helvetica" w:hAnsi="Helvetica"/>
          <w:b/>
          <w:lang w:val="en-GB"/>
        </w:rPr>
      </w:pPr>
      <w:r>
        <w:rPr>
          <w:rFonts w:ascii="Helvetica" w:hAnsi="Helvetica"/>
          <w:b/>
          <w:lang w:val="en-GB"/>
        </w:rPr>
        <w:t>Air Cooling Tests (</w:t>
      </w:r>
      <w:proofErr w:type="spellStart"/>
      <w:r>
        <w:rPr>
          <w:rFonts w:ascii="Helvetica" w:hAnsi="Helvetica"/>
          <w:b/>
          <w:lang w:val="en-GB"/>
        </w:rPr>
        <w:t>Arantza</w:t>
      </w:r>
      <w:proofErr w:type="spellEnd"/>
      <w:r>
        <w:rPr>
          <w:rFonts w:ascii="Helvetica" w:hAnsi="Helvetica"/>
          <w:b/>
          <w:lang w:val="en-GB"/>
        </w:rPr>
        <w:t xml:space="preserve"> </w:t>
      </w:r>
      <w:proofErr w:type="spellStart"/>
      <w:r>
        <w:rPr>
          <w:rFonts w:ascii="Helvetica" w:hAnsi="Helvetica"/>
          <w:b/>
          <w:lang w:val="en-GB"/>
        </w:rPr>
        <w:t>Oyanguren</w:t>
      </w:r>
      <w:proofErr w:type="spellEnd"/>
      <w:r>
        <w:rPr>
          <w:rFonts w:ascii="Helvetica" w:hAnsi="Helvetica"/>
          <w:b/>
          <w:lang w:val="en-GB"/>
        </w:rPr>
        <w:t>)</w:t>
      </w:r>
    </w:p>
    <w:p w:rsidR="008A009C" w:rsidRDefault="00262164" w:rsidP="008A009C">
      <w:pPr>
        <w:pStyle w:val="ListParagraph"/>
        <w:rPr>
          <w:rFonts w:ascii="Helvetica" w:hAnsi="Helvetica"/>
          <w:lang w:val="en-GB"/>
        </w:rPr>
      </w:pPr>
      <w:r>
        <w:rPr>
          <w:rFonts w:ascii="Helvetica" w:hAnsi="Helvetica"/>
          <w:lang w:val="en-GB"/>
        </w:rPr>
        <w:t xml:space="preserve">Work continued at the cooling </w:t>
      </w:r>
      <w:proofErr w:type="spellStart"/>
      <w:r>
        <w:rPr>
          <w:rFonts w:ascii="Helvetica" w:hAnsi="Helvetica"/>
          <w:lang w:val="en-GB"/>
        </w:rPr>
        <w:t>mockup</w:t>
      </w:r>
      <w:proofErr w:type="spellEnd"/>
      <w:r>
        <w:rPr>
          <w:rFonts w:ascii="Helvetica" w:hAnsi="Helvetica"/>
          <w:lang w:val="en-GB"/>
        </w:rPr>
        <w:t xml:space="preserve">. It was demonstrated that rather low airspeed is sufficient to cool the modules (1-2 m/s, air speed is measured at the inlet pipe. </w:t>
      </w:r>
      <w:proofErr w:type="spellStart"/>
      <w:r>
        <w:rPr>
          <w:rFonts w:ascii="Helvetica" w:hAnsi="Helvetica"/>
          <w:lang w:val="en-GB"/>
        </w:rPr>
        <w:t>Arantza</w:t>
      </w:r>
      <w:proofErr w:type="spellEnd"/>
      <w:r>
        <w:rPr>
          <w:rFonts w:ascii="Helvetica" w:hAnsi="Helvetica"/>
          <w:lang w:val="en-GB"/>
        </w:rPr>
        <w:t xml:space="preserve"> will provide figures on mass flow).</w:t>
      </w:r>
    </w:p>
    <w:p w:rsidR="00262164" w:rsidRDefault="00262164" w:rsidP="008A009C">
      <w:pPr>
        <w:pStyle w:val="ListParagraph"/>
        <w:rPr>
          <w:rFonts w:ascii="Helvetica" w:hAnsi="Helvetica"/>
          <w:lang w:val="en-GB"/>
        </w:rPr>
      </w:pPr>
      <w:r>
        <w:rPr>
          <w:rFonts w:ascii="Helvetica" w:hAnsi="Helvetica"/>
          <w:lang w:val="en-GB"/>
        </w:rPr>
        <w:t>The preparation of cold air is not trivial. Vortex tube and cooling by liquid nitrogen failed. There problems are due to freeze out of CO2 clocking the pipes and regulation. A system which used gaseous N2 and heating with Al-blocks worked. Interesting observation: the cooling block temperature changes if air (above -20 C) passes through.</w:t>
      </w:r>
    </w:p>
    <w:p w:rsidR="00262164" w:rsidRDefault="00262164" w:rsidP="008A009C">
      <w:pPr>
        <w:pStyle w:val="ListParagraph"/>
        <w:rPr>
          <w:rFonts w:ascii="Helvetica" w:hAnsi="Helvetica"/>
          <w:lang w:val="en-GB"/>
        </w:rPr>
      </w:pPr>
      <w:r>
        <w:rPr>
          <w:rFonts w:ascii="Helvetica" w:hAnsi="Helvetica"/>
          <w:lang w:val="en-GB"/>
        </w:rPr>
        <w:t xml:space="preserve">An effect of the cooling block temperature on the beam pipe temperature was not observed. Hence there seems to be no risk of freezing the paraffin used for beam pipe cooling. </w:t>
      </w:r>
    </w:p>
    <w:p w:rsidR="001C728B" w:rsidRDefault="00262164" w:rsidP="008A009C">
      <w:pPr>
        <w:pStyle w:val="ListParagraph"/>
        <w:rPr>
          <w:rFonts w:ascii="Helvetica" w:hAnsi="Helvetica"/>
          <w:lang w:val="en-GB"/>
        </w:rPr>
      </w:pPr>
      <w:r>
        <w:rPr>
          <w:rFonts w:ascii="Helvetica" w:hAnsi="Helvetica"/>
          <w:lang w:val="en-GB"/>
        </w:rPr>
        <w:t xml:space="preserve">We asked Valencia to look into </w:t>
      </w:r>
      <w:r w:rsidR="001C728B">
        <w:rPr>
          <w:rFonts w:ascii="Helvetica" w:hAnsi="Helvetica"/>
          <w:lang w:val="en-GB"/>
        </w:rPr>
        <w:t>air cooling using the return flow of CO2 (if the air inlet is mounted inside the CO2 outlet). This might be needed to avoid heating up of the air in the long transfer lines.</w:t>
      </w:r>
    </w:p>
    <w:p w:rsidR="00262164" w:rsidRPr="001C728B" w:rsidRDefault="001C728B" w:rsidP="001C728B">
      <w:pPr>
        <w:pStyle w:val="ListParagraph"/>
        <w:rPr>
          <w:rFonts w:ascii="Helvetica" w:hAnsi="Helvetica"/>
          <w:lang w:val="en-GB"/>
        </w:rPr>
      </w:pPr>
      <w:r>
        <w:rPr>
          <w:rFonts w:ascii="Helvetica" w:hAnsi="Helvetica"/>
          <w:lang w:val="en-GB"/>
        </w:rPr>
        <w:t>Munich will send carbon tubes to Valencia (Action ID=157 since 9.12.2010).</w:t>
      </w:r>
      <w:r w:rsidR="00262164" w:rsidRPr="001C728B">
        <w:rPr>
          <w:rFonts w:ascii="Helvetica" w:hAnsi="Helvetica"/>
          <w:lang w:val="en-GB"/>
        </w:rPr>
        <w:t xml:space="preserve"> </w:t>
      </w:r>
    </w:p>
    <w:p w:rsidR="004D0E6B" w:rsidRPr="004D0E6B" w:rsidRDefault="004D0E6B" w:rsidP="004D0E6B">
      <w:pPr>
        <w:rPr>
          <w:rFonts w:ascii="Helvetica" w:hAnsi="Helvetica"/>
          <w:lang w:val="en-GB"/>
        </w:rPr>
      </w:pPr>
    </w:p>
    <w:p w:rsidR="008A009C" w:rsidRPr="004D0E6B" w:rsidRDefault="00A76A13" w:rsidP="008A009C">
      <w:pPr>
        <w:pStyle w:val="ListParagraph"/>
        <w:numPr>
          <w:ilvl w:val="0"/>
          <w:numId w:val="1"/>
        </w:numPr>
        <w:rPr>
          <w:rFonts w:ascii="Helvetica" w:hAnsi="Helvetica"/>
          <w:b/>
          <w:lang w:val="en-GB"/>
        </w:rPr>
      </w:pPr>
      <w:r>
        <w:rPr>
          <w:rFonts w:ascii="Helvetica" w:hAnsi="Helvetica"/>
          <w:b/>
          <w:lang w:val="en-GB"/>
        </w:rPr>
        <w:t>Alignment System (</w:t>
      </w:r>
      <w:proofErr w:type="spellStart"/>
      <w:r>
        <w:rPr>
          <w:rFonts w:ascii="Helvetica" w:hAnsi="Helvetica"/>
          <w:b/>
          <w:lang w:val="en-GB"/>
        </w:rPr>
        <w:t>Davide</w:t>
      </w:r>
      <w:proofErr w:type="spellEnd"/>
      <w:r>
        <w:rPr>
          <w:rFonts w:ascii="Helvetica" w:hAnsi="Helvetica"/>
          <w:b/>
          <w:lang w:val="en-GB"/>
        </w:rPr>
        <w:t xml:space="preserve"> </w:t>
      </w:r>
      <w:proofErr w:type="spellStart"/>
      <w:r>
        <w:rPr>
          <w:rFonts w:ascii="Helvetica" w:hAnsi="Helvetica"/>
          <w:b/>
          <w:lang w:val="en-GB"/>
        </w:rPr>
        <w:t>Moya</w:t>
      </w:r>
      <w:proofErr w:type="spellEnd"/>
      <w:r>
        <w:rPr>
          <w:rFonts w:ascii="Helvetica" w:hAnsi="Helvetica"/>
          <w:b/>
          <w:lang w:val="en-GB"/>
        </w:rPr>
        <w:t>)</w:t>
      </w:r>
    </w:p>
    <w:p w:rsidR="007B576E" w:rsidRDefault="00CF79A7" w:rsidP="00CF79A7">
      <w:pPr>
        <w:ind w:left="708"/>
        <w:rPr>
          <w:rFonts w:ascii="Helvetica" w:hAnsi="Helvetica"/>
          <w:lang w:val="en-GB"/>
        </w:rPr>
      </w:pPr>
      <w:r>
        <w:rPr>
          <w:rFonts w:ascii="Helvetica" w:hAnsi="Helvetica"/>
          <w:lang w:val="en-GB"/>
        </w:rPr>
        <w:t xml:space="preserve">The location of the alignment sensors was discussed with </w:t>
      </w:r>
      <w:proofErr w:type="spellStart"/>
      <w:r>
        <w:rPr>
          <w:rFonts w:ascii="Helvetica" w:hAnsi="Helvetica"/>
          <w:lang w:val="en-GB"/>
        </w:rPr>
        <w:t>Tscharlie</w:t>
      </w:r>
      <w:proofErr w:type="spellEnd"/>
      <w:r>
        <w:rPr>
          <w:rFonts w:ascii="Helvetica" w:hAnsi="Helvetica"/>
          <w:lang w:val="en-GB"/>
        </w:rPr>
        <w:t xml:space="preserve"> Ackermann. They will be </w:t>
      </w:r>
      <w:r w:rsidR="004E3614">
        <w:rPr>
          <w:rFonts w:ascii="Helvetica" w:hAnsi="Helvetica"/>
          <w:lang w:val="en-GB"/>
        </w:rPr>
        <w:t xml:space="preserve">placed between the PXD support and the SVD support cone. For this a new design is needed. Fabrication should be ready in October 2010. </w:t>
      </w:r>
    </w:p>
    <w:p w:rsidR="004E3614" w:rsidRDefault="004E3614" w:rsidP="00CF79A7">
      <w:pPr>
        <w:ind w:left="708"/>
        <w:rPr>
          <w:rFonts w:ascii="Helvetica" w:hAnsi="Helvetica"/>
          <w:lang w:val="en-GB"/>
        </w:rPr>
      </w:pPr>
      <w:r>
        <w:rPr>
          <w:rFonts w:ascii="Helvetica" w:hAnsi="Helvetica"/>
          <w:lang w:val="en-GB"/>
        </w:rPr>
        <w:t>It is proposed to use further fibres to measure temperature and humidity in the PXD volume. This could supply important feedback to the slow control.</w:t>
      </w:r>
    </w:p>
    <w:p w:rsidR="004E3614" w:rsidRDefault="004E3614" w:rsidP="00CF79A7">
      <w:pPr>
        <w:ind w:left="708"/>
        <w:rPr>
          <w:rFonts w:ascii="Helvetica" w:hAnsi="Helvetica"/>
          <w:lang w:val="en-GB"/>
        </w:rPr>
      </w:pPr>
      <w:r>
        <w:rPr>
          <w:rFonts w:ascii="Helvetica" w:hAnsi="Helvetica"/>
          <w:lang w:val="en-GB"/>
        </w:rPr>
        <w:t>Irradiations are planned for autumn.</w:t>
      </w:r>
    </w:p>
    <w:p w:rsidR="004E3614" w:rsidRDefault="004E3614" w:rsidP="00CF79A7">
      <w:pPr>
        <w:ind w:left="708"/>
        <w:rPr>
          <w:rFonts w:ascii="Helvetica" w:hAnsi="Helvetica"/>
          <w:lang w:val="en-GB"/>
        </w:rPr>
      </w:pPr>
      <w:r>
        <w:rPr>
          <w:rFonts w:ascii="Helvetica" w:hAnsi="Helvetica"/>
          <w:lang w:val="en-GB"/>
        </w:rPr>
        <w:t>SVD is interested in these monitors, too.</w:t>
      </w:r>
    </w:p>
    <w:p w:rsidR="004E3614" w:rsidRPr="00CF79A7" w:rsidRDefault="004E3614" w:rsidP="00CF79A7">
      <w:pPr>
        <w:ind w:left="708"/>
        <w:rPr>
          <w:rFonts w:ascii="Helvetica" w:hAnsi="Helvetica"/>
          <w:lang w:val="en-GB"/>
        </w:rPr>
      </w:pPr>
    </w:p>
    <w:p w:rsidR="00C66630" w:rsidRDefault="00A2575F" w:rsidP="00F11B8F">
      <w:pPr>
        <w:pStyle w:val="ListParagraph"/>
        <w:numPr>
          <w:ilvl w:val="0"/>
          <w:numId w:val="1"/>
        </w:numPr>
        <w:rPr>
          <w:rFonts w:ascii="Helvetica" w:hAnsi="Helvetica"/>
          <w:b/>
          <w:lang w:val="en-GB"/>
        </w:rPr>
      </w:pPr>
      <w:r>
        <w:rPr>
          <w:rFonts w:ascii="Helvetica" w:hAnsi="Helvetica"/>
          <w:b/>
          <w:lang w:val="en-GB"/>
        </w:rPr>
        <w:t>PXD Session at B2GM (Hans-</w:t>
      </w:r>
      <w:proofErr w:type="spellStart"/>
      <w:r>
        <w:rPr>
          <w:rFonts w:ascii="Helvetica" w:hAnsi="Helvetica"/>
          <w:b/>
          <w:lang w:val="en-GB"/>
        </w:rPr>
        <w:t>Günther</w:t>
      </w:r>
      <w:proofErr w:type="spellEnd"/>
      <w:r>
        <w:rPr>
          <w:rFonts w:ascii="Helvetica" w:hAnsi="Helvetica"/>
          <w:b/>
          <w:lang w:val="en-GB"/>
        </w:rPr>
        <w:t xml:space="preserve"> Moser)</w:t>
      </w:r>
    </w:p>
    <w:p w:rsidR="00A2575F" w:rsidRDefault="00A2575F" w:rsidP="00A2575F">
      <w:pPr>
        <w:pStyle w:val="ListParagraph"/>
        <w:rPr>
          <w:rFonts w:ascii="Helvetica" w:hAnsi="Helvetica"/>
          <w:b/>
          <w:lang w:val="en-GB"/>
        </w:rPr>
      </w:pPr>
    </w:p>
    <w:p w:rsidR="00A2575F" w:rsidRDefault="00A2575F" w:rsidP="00A2575F">
      <w:pPr>
        <w:ind w:left="708"/>
        <w:rPr>
          <w:rFonts w:ascii="Helvetica" w:hAnsi="Helvetica"/>
          <w:lang w:val="en-GB"/>
        </w:rPr>
      </w:pPr>
      <w:r>
        <w:rPr>
          <w:rFonts w:ascii="Helvetica" w:hAnsi="Helvetica"/>
          <w:lang w:val="en-GB"/>
        </w:rPr>
        <w:t xml:space="preserve">The PXD session at the B2GM will be Wednesday, June 6, 16:50-20:20 with the possibility to extend to Wednesday Morning. </w:t>
      </w:r>
    </w:p>
    <w:p w:rsidR="00A2575F" w:rsidRDefault="00A2575F" w:rsidP="00A2575F">
      <w:pPr>
        <w:ind w:firstLine="708"/>
        <w:rPr>
          <w:rFonts w:ascii="Helvetica" w:hAnsi="Helvetica"/>
          <w:lang w:val="en-GB"/>
        </w:rPr>
      </w:pPr>
      <w:r>
        <w:rPr>
          <w:rFonts w:ascii="Helvetica" w:hAnsi="Helvetica"/>
          <w:lang w:val="en-GB"/>
        </w:rPr>
        <w:t>We agreed on following agenda:</w:t>
      </w:r>
    </w:p>
    <w:p w:rsidR="00A2575F" w:rsidRDefault="00A2575F" w:rsidP="00A2575F">
      <w:pPr>
        <w:ind w:firstLine="708"/>
        <w:rPr>
          <w:rFonts w:ascii="Helvetica" w:hAnsi="Helvetica"/>
          <w:lang w:val="en-GB"/>
        </w:rPr>
      </w:pPr>
    </w:p>
    <w:p w:rsidR="00A2575F" w:rsidRDefault="00A2575F" w:rsidP="00A2575F">
      <w:pPr>
        <w:ind w:firstLine="708"/>
        <w:rPr>
          <w:rFonts w:ascii="Helvetica" w:hAnsi="Helvetica"/>
          <w:lang w:val="en-GB"/>
        </w:rPr>
      </w:pPr>
      <w:r>
        <w:rPr>
          <w:rFonts w:ascii="Helvetica" w:hAnsi="Helvetica"/>
          <w:lang w:val="en-GB"/>
        </w:rPr>
        <w:tab/>
        <w:t xml:space="preserve">Introduction, News: </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Christian </w:t>
      </w:r>
      <w:proofErr w:type="spellStart"/>
      <w:r>
        <w:rPr>
          <w:rFonts w:ascii="Helvetica" w:hAnsi="Helvetica"/>
          <w:lang w:val="en-GB"/>
        </w:rPr>
        <w:t>Kiesling</w:t>
      </w:r>
      <w:proofErr w:type="spellEnd"/>
    </w:p>
    <w:p w:rsidR="00A2575F" w:rsidRDefault="00A2575F" w:rsidP="00A2575F">
      <w:pPr>
        <w:ind w:firstLine="708"/>
        <w:rPr>
          <w:rFonts w:ascii="Helvetica" w:hAnsi="Helvetica"/>
          <w:lang w:val="en-GB"/>
        </w:rPr>
      </w:pPr>
      <w:r>
        <w:rPr>
          <w:rFonts w:ascii="Helvetica" w:hAnsi="Helvetica"/>
          <w:lang w:val="en-GB"/>
        </w:rPr>
        <w:tab/>
        <w:t xml:space="preserve">PXD6 Production, Tests, Irradiations: </w:t>
      </w:r>
      <w:r>
        <w:rPr>
          <w:rFonts w:ascii="Helvetica" w:hAnsi="Helvetica"/>
          <w:lang w:val="en-GB"/>
        </w:rPr>
        <w:tab/>
      </w:r>
      <w:proofErr w:type="spellStart"/>
      <w:r>
        <w:rPr>
          <w:rFonts w:ascii="Helvetica" w:hAnsi="Helvetica"/>
          <w:lang w:val="en-GB"/>
        </w:rPr>
        <w:t>Jelena</w:t>
      </w:r>
      <w:proofErr w:type="spellEnd"/>
      <w:r>
        <w:rPr>
          <w:rFonts w:ascii="Helvetica" w:hAnsi="Helvetica"/>
          <w:lang w:val="en-GB"/>
        </w:rPr>
        <w:t xml:space="preserve"> </w:t>
      </w:r>
      <w:proofErr w:type="spellStart"/>
      <w:r>
        <w:rPr>
          <w:rFonts w:ascii="Helvetica" w:hAnsi="Helvetica"/>
          <w:lang w:val="en-GB"/>
        </w:rPr>
        <w:t>Ninkovich</w:t>
      </w:r>
      <w:proofErr w:type="spellEnd"/>
    </w:p>
    <w:p w:rsidR="00A2575F" w:rsidRDefault="00A2575F" w:rsidP="00A2575F">
      <w:pPr>
        <w:ind w:firstLine="708"/>
        <w:rPr>
          <w:rFonts w:ascii="Helvetica" w:hAnsi="Helvetica"/>
          <w:lang w:val="en-GB"/>
        </w:rPr>
      </w:pPr>
      <w:r>
        <w:rPr>
          <w:rFonts w:ascii="Helvetica" w:hAnsi="Helvetica"/>
          <w:lang w:val="en-GB"/>
        </w:rPr>
        <w:tab/>
        <w:t xml:space="preserve">PXD6 matrix tests, hybrid production: </w:t>
      </w:r>
      <w:r>
        <w:rPr>
          <w:rFonts w:ascii="Helvetica" w:hAnsi="Helvetica"/>
          <w:lang w:val="en-GB"/>
        </w:rPr>
        <w:tab/>
        <w:t xml:space="preserve">Christian </w:t>
      </w:r>
      <w:proofErr w:type="spellStart"/>
      <w:r>
        <w:rPr>
          <w:rFonts w:ascii="Helvetica" w:hAnsi="Helvetica"/>
          <w:lang w:val="en-GB"/>
        </w:rPr>
        <w:t>Koffmane</w:t>
      </w:r>
      <w:proofErr w:type="spellEnd"/>
    </w:p>
    <w:p w:rsidR="00A2575F" w:rsidRDefault="00A2575F" w:rsidP="00A2575F">
      <w:pPr>
        <w:ind w:firstLine="708"/>
        <w:rPr>
          <w:rFonts w:ascii="Helvetica" w:hAnsi="Helvetica"/>
          <w:lang w:val="en-GB"/>
        </w:rPr>
      </w:pPr>
      <w:r>
        <w:rPr>
          <w:rFonts w:ascii="Helvetica" w:hAnsi="Helvetica"/>
          <w:lang w:val="en-GB"/>
        </w:rPr>
        <w:tab/>
        <w:t xml:space="preserve">ASICs: </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Ivan </w:t>
      </w:r>
      <w:proofErr w:type="spellStart"/>
      <w:r>
        <w:rPr>
          <w:rFonts w:ascii="Helvetica" w:hAnsi="Helvetica"/>
          <w:lang w:val="en-GB"/>
        </w:rPr>
        <w:t>Peric</w:t>
      </w:r>
      <w:proofErr w:type="spellEnd"/>
    </w:p>
    <w:p w:rsidR="00A2575F" w:rsidRDefault="00A2575F" w:rsidP="00A2575F">
      <w:pPr>
        <w:ind w:firstLine="708"/>
        <w:rPr>
          <w:rFonts w:ascii="Helvetica" w:hAnsi="Helvetica"/>
          <w:lang w:val="en-GB"/>
        </w:rPr>
      </w:pPr>
      <w:r>
        <w:rPr>
          <w:rFonts w:ascii="Helvetica" w:hAnsi="Helvetica"/>
          <w:lang w:val="en-GB"/>
        </w:rPr>
        <w:tab/>
        <w:t xml:space="preserve">DHH (or in DAQ): </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Igor </w:t>
      </w:r>
      <w:proofErr w:type="spellStart"/>
      <w:r>
        <w:rPr>
          <w:rFonts w:ascii="Helvetica" w:hAnsi="Helvetica"/>
          <w:lang w:val="en-GB"/>
        </w:rPr>
        <w:t>Konorov</w:t>
      </w:r>
      <w:proofErr w:type="spellEnd"/>
    </w:p>
    <w:p w:rsidR="004B3CCB" w:rsidRDefault="004B3CCB" w:rsidP="004B3CCB">
      <w:pPr>
        <w:ind w:left="708" w:firstLine="708"/>
        <w:rPr>
          <w:rFonts w:ascii="Helvetica" w:hAnsi="Helvetica"/>
          <w:lang w:val="en-GB"/>
        </w:rPr>
      </w:pPr>
      <w:r>
        <w:rPr>
          <w:rFonts w:ascii="Helvetica" w:hAnsi="Helvetica"/>
          <w:lang w:val="en-GB"/>
        </w:rPr>
        <w:t>Services/Power/slow Control:</w:t>
      </w:r>
      <w:r>
        <w:rPr>
          <w:rFonts w:ascii="Helvetica" w:hAnsi="Helvetica"/>
          <w:lang w:val="en-GB"/>
        </w:rPr>
        <w:tab/>
      </w:r>
      <w:r>
        <w:rPr>
          <w:rFonts w:ascii="Helvetica" w:hAnsi="Helvetica"/>
          <w:lang w:val="en-GB"/>
        </w:rPr>
        <w:tab/>
      </w:r>
      <w:proofErr w:type="spellStart"/>
      <w:r>
        <w:rPr>
          <w:rFonts w:ascii="Helvetica" w:hAnsi="Helvetica"/>
          <w:lang w:val="en-GB"/>
        </w:rPr>
        <w:t>Jochen</w:t>
      </w:r>
      <w:proofErr w:type="spellEnd"/>
      <w:r>
        <w:rPr>
          <w:rFonts w:ascii="Helvetica" w:hAnsi="Helvetica"/>
          <w:lang w:val="en-GB"/>
        </w:rPr>
        <w:t xml:space="preserve"> </w:t>
      </w:r>
      <w:proofErr w:type="spellStart"/>
      <w:r>
        <w:rPr>
          <w:rFonts w:ascii="Helvetica" w:hAnsi="Helvetica"/>
          <w:lang w:val="en-GB"/>
        </w:rPr>
        <w:t>Schieck</w:t>
      </w:r>
      <w:proofErr w:type="spellEnd"/>
    </w:p>
    <w:p w:rsidR="004B3CCB" w:rsidRDefault="004B3CCB" w:rsidP="004B3CCB">
      <w:pPr>
        <w:ind w:left="708" w:firstLine="708"/>
        <w:rPr>
          <w:rFonts w:ascii="Helvetica" w:hAnsi="Helvetica"/>
          <w:lang w:val="en-GB"/>
        </w:rPr>
      </w:pPr>
      <w:r>
        <w:rPr>
          <w:rFonts w:ascii="Helvetica" w:hAnsi="Helvetica"/>
          <w:lang w:val="en-GB"/>
        </w:rPr>
        <w:t>Grounding:</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Fernando </w:t>
      </w:r>
      <w:proofErr w:type="spellStart"/>
      <w:r>
        <w:rPr>
          <w:rFonts w:ascii="Helvetica" w:hAnsi="Helvetica"/>
          <w:lang w:val="en-GB"/>
        </w:rPr>
        <w:t>Arteche</w:t>
      </w:r>
      <w:proofErr w:type="spellEnd"/>
    </w:p>
    <w:p w:rsidR="004B3CCB" w:rsidRDefault="004B3CCB" w:rsidP="004B3CCB">
      <w:pPr>
        <w:ind w:left="708" w:firstLine="708"/>
        <w:rPr>
          <w:rFonts w:ascii="Helvetica" w:hAnsi="Helvetica"/>
          <w:lang w:val="en-GB"/>
        </w:rPr>
      </w:pPr>
      <w:r>
        <w:rPr>
          <w:rFonts w:ascii="Helvetica" w:hAnsi="Helvetica"/>
          <w:lang w:val="en-GB"/>
        </w:rPr>
        <w:t>Geometry, Support, Alignment:</w:t>
      </w:r>
      <w:r>
        <w:rPr>
          <w:rFonts w:ascii="Helvetica" w:hAnsi="Helvetica"/>
          <w:lang w:val="en-GB"/>
        </w:rPr>
        <w:tab/>
      </w:r>
      <w:r>
        <w:rPr>
          <w:rFonts w:ascii="Helvetica" w:hAnsi="Helvetica"/>
          <w:lang w:val="en-GB"/>
        </w:rPr>
        <w:tab/>
        <w:t>Martin Ritter</w:t>
      </w:r>
    </w:p>
    <w:p w:rsidR="004B3CCB" w:rsidRDefault="004B3CCB" w:rsidP="004B3CCB">
      <w:pPr>
        <w:ind w:left="708" w:firstLine="708"/>
        <w:rPr>
          <w:rFonts w:ascii="Helvetica" w:hAnsi="Helvetica"/>
          <w:lang w:val="en-GB"/>
        </w:rPr>
      </w:pPr>
      <w:r>
        <w:rPr>
          <w:rFonts w:ascii="Helvetica" w:hAnsi="Helvetica"/>
          <w:lang w:val="en-GB"/>
        </w:rPr>
        <w:t>Simulations: Performance</w:t>
      </w:r>
      <w:r>
        <w:rPr>
          <w:rFonts w:ascii="Helvetica" w:hAnsi="Helvetica"/>
          <w:lang w:val="en-GB"/>
        </w:rPr>
        <w:tab/>
      </w:r>
      <w:r>
        <w:rPr>
          <w:rFonts w:ascii="Helvetica" w:hAnsi="Helvetica"/>
          <w:lang w:val="en-GB"/>
        </w:rPr>
        <w:tab/>
      </w:r>
      <w:r>
        <w:rPr>
          <w:rFonts w:ascii="Helvetica" w:hAnsi="Helvetica"/>
          <w:lang w:val="en-GB"/>
        </w:rPr>
        <w:tab/>
        <w:t>Andreas Moll</w:t>
      </w:r>
    </w:p>
    <w:p w:rsidR="004B3CCB" w:rsidRDefault="004B3CCB" w:rsidP="004B3CCB">
      <w:pPr>
        <w:ind w:left="708" w:firstLine="708"/>
        <w:rPr>
          <w:rFonts w:ascii="Helvetica" w:hAnsi="Helvetica"/>
          <w:lang w:val="en-GB"/>
        </w:rPr>
      </w:pPr>
    </w:p>
    <w:p w:rsidR="004B3CCB" w:rsidRDefault="004B3CCB" w:rsidP="004B3CCB">
      <w:pPr>
        <w:ind w:left="708"/>
        <w:rPr>
          <w:rFonts w:ascii="Helvetica" w:hAnsi="Helvetica"/>
          <w:lang w:val="en-GB"/>
        </w:rPr>
      </w:pPr>
      <w:r>
        <w:rPr>
          <w:rFonts w:ascii="Helvetica" w:hAnsi="Helvetica"/>
          <w:lang w:val="en-GB"/>
        </w:rPr>
        <w:t>DAQ, background and IP related mechanics will be in the respective sessions</w:t>
      </w:r>
    </w:p>
    <w:p w:rsidR="004B3CCB" w:rsidRDefault="004B3CCB" w:rsidP="004B3CCB">
      <w:pPr>
        <w:ind w:left="708" w:firstLine="708"/>
        <w:rPr>
          <w:rFonts w:ascii="Helvetica" w:hAnsi="Helvetica"/>
          <w:lang w:val="en-GB"/>
        </w:rPr>
      </w:pPr>
    </w:p>
    <w:p w:rsidR="00A2575F" w:rsidRPr="00A2575F" w:rsidRDefault="00A2575F" w:rsidP="00A2575F">
      <w:pPr>
        <w:ind w:firstLine="708"/>
        <w:rPr>
          <w:rFonts w:ascii="Helvetica" w:hAnsi="Helvetica"/>
          <w:lang w:val="en-GB"/>
        </w:rPr>
      </w:pPr>
      <w:r>
        <w:rPr>
          <w:rFonts w:ascii="Helvetica" w:hAnsi="Helvetica"/>
          <w:lang w:val="en-GB"/>
        </w:rPr>
        <w:tab/>
      </w:r>
    </w:p>
    <w:p w:rsidR="00A2575F" w:rsidRPr="00DB635D" w:rsidRDefault="00A2575F" w:rsidP="00F11B8F">
      <w:pPr>
        <w:pStyle w:val="ListParagraph"/>
        <w:numPr>
          <w:ilvl w:val="0"/>
          <w:numId w:val="1"/>
        </w:numPr>
        <w:rPr>
          <w:rFonts w:ascii="Helvetica" w:hAnsi="Helvetica"/>
          <w:b/>
          <w:lang w:val="en-GB"/>
        </w:rPr>
      </w:pPr>
      <w:r>
        <w:rPr>
          <w:rFonts w:ascii="Helvetica" w:hAnsi="Helvetica"/>
          <w:b/>
          <w:lang w:val="en-GB"/>
        </w:rPr>
        <w:t>AOB</w:t>
      </w:r>
    </w:p>
    <w:p w:rsidR="00027ADF" w:rsidRPr="00027ADF" w:rsidRDefault="00027ADF" w:rsidP="00027ADF">
      <w:pPr>
        <w:ind w:left="720"/>
        <w:rPr>
          <w:rFonts w:ascii="Helvetica" w:hAnsi="Helvetica"/>
          <w:b/>
          <w:lang w:val="en-GB"/>
        </w:rPr>
      </w:pPr>
    </w:p>
    <w:p w:rsidR="00AD035A" w:rsidRDefault="00AD035A" w:rsidP="00F11B8F">
      <w:pPr>
        <w:pStyle w:val="ListParagraph"/>
        <w:numPr>
          <w:ilvl w:val="0"/>
          <w:numId w:val="3"/>
        </w:numPr>
        <w:rPr>
          <w:rFonts w:ascii="Helvetica" w:hAnsi="Helvetica"/>
          <w:lang w:val="en-GB"/>
        </w:rPr>
      </w:pPr>
      <w:r>
        <w:rPr>
          <w:rFonts w:ascii="Helvetica" w:hAnsi="Helvetica"/>
          <w:lang w:val="en-GB"/>
        </w:rPr>
        <w:t xml:space="preserve">Hans </w:t>
      </w:r>
      <w:proofErr w:type="spellStart"/>
      <w:r>
        <w:rPr>
          <w:rFonts w:ascii="Helvetica" w:hAnsi="Helvetica"/>
          <w:lang w:val="en-GB"/>
        </w:rPr>
        <w:t>Krüger</w:t>
      </w:r>
      <w:proofErr w:type="spellEnd"/>
      <w:r>
        <w:rPr>
          <w:rFonts w:ascii="Helvetica" w:hAnsi="Helvetica"/>
          <w:lang w:val="en-GB"/>
        </w:rPr>
        <w:t xml:space="preserve"> reported that the DHP test chip has been submitted to </w:t>
      </w:r>
      <w:proofErr w:type="spellStart"/>
      <w:r>
        <w:rPr>
          <w:rFonts w:ascii="Helvetica" w:hAnsi="Helvetica"/>
          <w:lang w:val="en-GB"/>
        </w:rPr>
        <w:t>Mosis</w:t>
      </w:r>
      <w:proofErr w:type="spellEnd"/>
      <w:r>
        <w:rPr>
          <w:rFonts w:ascii="Helvetica" w:hAnsi="Helvetica"/>
          <w:lang w:val="en-GB"/>
        </w:rPr>
        <w:t xml:space="preserve"> (last IBM 90nm MPW). No confirmation of the production start yet, but this is expected to come. Work started (with Barcelona) to convert to TSMC 65 nm. This technology will also be used by CERN, which helps). Next run (mini </w:t>
      </w:r>
      <w:proofErr w:type="spellStart"/>
      <w:r>
        <w:rPr>
          <w:rFonts w:ascii="Helvetica" w:hAnsi="Helvetica"/>
          <w:lang w:val="en-GB"/>
        </w:rPr>
        <w:t>asic</w:t>
      </w:r>
      <w:proofErr w:type="spellEnd"/>
      <w:r>
        <w:rPr>
          <w:rFonts w:ascii="Helvetica" w:hAnsi="Helvetica"/>
          <w:lang w:val="en-GB"/>
        </w:rPr>
        <w:t>) is in October.</w:t>
      </w:r>
    </w:p>
    <w:p w:rsidR="00AD035A" w:rsidRDefault="00AD035A" w:rsidP="00F11B8F">
      <w:pPr>
        <w:pStyle w:val="ListParagraph"/>
        <w:numPr>
          <w:ilvl w:val="0"/>
          <w:numId w:val="3"/>
        </w:numPr>
        <w:rPr>
          <w:rFonts w:ascii="Helvetica" w:hAnsi="Helvetica"/>
          <w:lang w:val="en-GB"/>
        </w:rPr>
      </w:pPr>
      <w:proofErr w:type="spellStart"/>
      <w:r>
        <w:rPr>
          <w:rFonts w:ascii="Helvetica" w:hAnsi="Helvetica"/>
          <w:lang w:val="en-GB"/>
        </w:rPr>
        <w:t>Jelena</w:t>
      </w:r>
      <w:proofErr w:type="spellEnd"/>
      <w:r>
        <w:rPr>
          <w:rFonts w:ascii="Helvetica" w:hAnsi="Helvetica"/>
          <w:lang w:val="en-GB"/>
        </w:rPr>
        <w:t xml:space="preserve"> reported that </w:t>
      </w:r>
      <w:r w:rsidR="00900B5F">
        <w:rPr>
          <w:rFonts w:ascii="Helvetica" w:hAnsi="Helvetica"/>
          <w:lang w:val="en-GB"/>
        </w:rPr>
        <w:t xml:space="preserve">a </w:t>
      </w:r>
      <w:r>
        <w:rPr>
          <w:rFonts w:ascii="Helvetica" w:hAnsi="Helvetica"/>
          <w:lang w:val="en-GB"/>
        </w:rPr>
        <w:t xml:space="preserve">PXD6 </w:t>
      </w:r>
      <w:r w:rsidR="00900B5F">
        <w:rPr>
          <w:rFonts w:ascii="Helvetica" w:hAnsi="Helvetica"/>
          <w:lang w:val="en-GB"/>
        </w:rPr>
        <w:t>matrix with</w:t>
      </w:r>
      <w:r>
        <w:rPr>
          <w:rFonts w:ascii="Helvetica" w:hAnsi="Helvetica"/>
          <w:lang w:val="en-GB"/>
        </w:rPr>
        <w:t xml:space="preserve"> DCD </w:t>
      </w:r>
      <w:r w:rsidR="00900B5F">
        <w:rPr>
          <w:rFonts w:ascii="Helvetica" w:hAnsi="Helvetica"/>
          <w:lang w:val="en-GB"/>
        </w:rPr>
        <w:t xml:space="preserve">readout </w:t>
      </w:r>
      <w:r w:rsidR="00511406">
        <w:rPr>
          <w:rFonts w:ascii="Helvetica" w:hAnsi="Helvetica"/>
          <w:lang w:val="en-GB"/>
        </w:rPr>
        <w:t>was operated at</w:t>
      </w:r>
      <w:r>
        <w:rPr>
          <w:rFonts w:ascii="Helvetica" w:hAnsi="Helvetica"/>
          <w:lang w:val="en-GB"/>
        </w:rPr>
        <w:t xml:space="preserve"> full speed (100ns sampling). </w:t>
      </w:r>
    </w:p>
    <w:p w:rsidR="00545B07" w:rsidRDefault="004E3614" w:rsidP="00F11B8F">
      <w:pPr>
        <w:pStyle w:val="ListParagraph"/>
        <w:numPr>
          <w:ilvl w:val="0"/>
          <w:numId w:val="3"/>
        </w:numPr>
        <w:rPr>
          <w:rFonts w:ascii="Helvetica" w:hAnsi="Helvetica"/>
          <w:lang w:val="en-GB"/>
        </w:rPr>
      </w:pPr>
      <w:r>
        <w:rPr>
          <w:rFonts w:ascii="Helvetica" w:hAnsi="Helvetica"/>
          <w:lang w:val="en-GB"/>
        </w:rPr>
        <w:t>Next meeting: July 26 (Tuesday</w:t>
      </w:r>
      <w:r w:rsidR="004D5403">
        <w:rPr>
          <w:rFonts w:ascii="Helvetica" w:hAnsi="Helvetica"/>
          <w:lang w:val="en-GB"/>
        </w:rPr>
        <w:t>)</w:t>
      </w:r>
      <w:r w:rsidR="00545B07" w:rsidRPr="00837CAF">
        <w:rPr>
          <w:rFonts w:ascii="Helvetica" w:hAnsi="Helvetica"/>
          <w:lang w:val="en-GB"/>
        </w:rPr>
        <w:t xml:space="preserve"> 10:00</w:t>
      </w:r>
      <w:r w:rsidR="00E34D14" w:rsidRPr="00837CAF">
        <w:rPr>
          <w:rFonts w:ascii="Helvetica" w:hAnsi="Helvetica"/>
          <w:lang w:val="en-GB"/>
        </w:rPr>
        <w:t xml:space="preserve"> </w:t>
      </w:r>
    </w:p>
    <w:p w:rsidR="00F80C1F" w:rsidRPr="00837CAF" w:rsidRDefault="00F80C1F" w:rsidP="00F11B8F">
      <w:pPr>
        <w:pStyle w:val="ListParagraph"/>
        <w:ind w:left="1428"/>
        <w:rPr>
          <w:rFonts w:ascii="Helvetica" w:hAnsi="Helvetica"/>
          <w:lang w:val="en-GB"/>
        </w:rPr>
      </w:pPr>
      <w:r w:rsidRPr="00F80C1F">
        <w:rPr>
          <w:rFonts w:ascii="Helvetica" w:hAnsi="Helvetica"/>
          <w:lang w:val="en-GB"/>
        </w:rPr>
        <w:t>http://indico.mppmu.mpg.de/indico/</w:t>
      </w:r>
      <w:r w:rsidR="004E3614">
        <w:rPr>
          <w:rFonts w:ascii="Helvetica" w:hAnsi="Helvetica"/>
          <w:lang w:val="en-GB"/>
        </w:rPr>
        <w:t>conferenceDisplay.py?confId=1331</w:t>
      </w: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0439"/>
    <w:multiLevelType w:val="multilevel"/>
    <w:tmpl w:val="6A7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A7654"/>
    <w:multiLevelType w:val="hybridMultilevel"/>
    <w:tmpl w:val="0644B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01635F"/>
    <w:multiLevelType w:val="hybridMultilevel"/>
    <w:tmpl w:val="08F84E7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27ADF"/>
    <w:rsid w:val="00035B34"/>
    <w:rsid w:val="00042095"/>
    <w:rsid w:val="00042451"/>
    <w:rsid w:val="00044CE0"/>
    <w:rsid w:val="0004619F"/>
    <w:rsid w:val="000472FD"/>
    <w:rsid w:val="00050364"/>
    <w:rsid w:val="00054A9C"/>
    <w:rsid w:val="00055AAF"/>
    <w:rsid w:val="00055E1F"/>
    <w:rsid w:val="0006146C"/>
    <w:rsid w:val="00065E35"/>
    <w:rsid w:val="00073872"/>
    <w:rsid w:val="0007499E"/>
    <w:rsid w:val="00081757"/>
    <w:rsid w:val="00084F55"/>
    <w:rsid w:val="00093DCF"/>
    <w:rsid w:val="000948DC"/>
    <w:rsid w:val="00094D90"/>
    <w:rsid w:val="000A07D5"/>
    <w:rsid w:val="000A1A01"/>
    <w:rsid w:val="000A26B4"/>
    <w:rsid w:val="000A2972"/>
    <w:rsid w:val="000A3EFD"/>
    <w:rsid w:val="000A41E1"/>
    <w:rsid w:val="000A5B99"/>
    <w:rsid w:val="000A689C"/>
    <w:rsid w:val="000B1579"/>
    <w:rsid w:val="000B661B"/>
    <w:rsid w:val="000C547B"/>
    <w:rsid w:val="000C56DC"/>
    <w:rsid w:val="000C63EC"/>
    <w:rsid w:val="000C64FD"/>
    <w:rsid w:val="000C708A"/>
    <w:rsid w:val="000D04D9"/>
    <w:rsid w:val="000D0634"/>
    <w:rsid w:val="000D180A"/>
    <w:rsid w:val="000D3185"/>
    <w:rsid w:val="000D5293"/>
    <w:rsid w:val="000E0A50"/>
    <w:rsid w:val="000E2468"/>
    <w:rsid w:val="000E36A1"/>
    <w:rsid w:val="000E481A"/>
    <w:rsid w:val="000E4DA4"/>
    <w:rsid w:val="000E60A4"/>
    <w:rsid w:val="000F02A0"/>
    <w:rsid w:val="000F3EF2"/>
    <w:rsid w:val="000F6F77"/>
    <w:rsid w:val="000F76D8"/>
    <w:rsid w:val="00100A4B"/>
    <w:rsid w:val="00101940"/>
    <w:rsid w:val="00103B01"/>
    <w:rsid w:val="00107E99"/>
    <w:rsid w:val="001109AF"/>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8142D"/>
    <w:rsid w:val="001823D0"/>
    <w:rsid w:val="00183967"/>
    <w:rsid w:val="00185CF1"/>
    <w:rsid w:val="001865B2"/>
    <w:rsid w:val="00187C58"/>
    <w:rsid w:val="00190E13"/>
    <w:rsid w:val="00197FBD"/>
    <w:rsid w:val="001A0837"/>
    <w:rsid w:val="001A2011"/>
    <w:rsid w:val="001A5F42"/>
    <w:rsid w:val="001A6719"/>
    <w:rsid w:val="001A6976"/>
    <w:rsid w:val="001A79E0"/>
    <w:rsid w:val="001B0298"/>
    <w:rsid w:val="001B0E5D"/>
    <w:rsid w:val="001B1ABC"/>
    <w:rsid w:val="001B29C8"/>
    <w:rsid w:val="001B4872"/>
    <w:rsid w:val="001B5362"/>
    <w:rsid w:val="001B5512"/>
    <w:rsid w:val="001B6F11"/>
    <w:rsid w:val="001C017F"/>
    <w:rsid w:val="001C085F"/>
    <w:rsid w:val="001C0BBC"/>
    <w:rsid w:val="001C3EB8"/>
    <w:rsid w:val="001C43BF"/>
    <w:rsid w:val="001C4D90"/>
    <w:rsid w:val="001C5D4A"/>
    <w:rsid w:val="001C6710"/>
    <w:rsid w:val="001C728B"/>
    <w:rsid w:val="001D258F"/>
    <w:rsid w:val="001D4105"/>
    <w:rsid w:val="001D4AB6"/>
    <w:rsid w:val="001D56FF"/>
    <w:rsid w:val="001D69A2"/>
    <w:rsid w:val="001E1326"/>
    <w:rsid w:val="001E1A05"/>
    <w:rsid w:val="001E2C17"/>
    <w:rsid w:val="001E3ACF"/>
    <w:rsid w:val="001E493B"/>
    <w:rsid w:val="001E4A87"/>
    <w:rsid w:val="001E5036"/>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06BA1"/>
    <w:rsid w:val="00210AA0"/>
    <w:rsid w:val="0021114E"/>
    <w:rsid w:val="00211272"/>
    <w:rsid w:val="002134FB"/>
    <w:rsid w:val="00214EDE"/>
    <w:rsid w:val="00226479"/>
    <w:rsid w:val="00227033"/>
    <w:rsid w:val="00227E4D"/>
    <w:rsid w:val="002317F2"/>
    <w:rsid w:val="00231926"/>
    <w:rsid w:val="00231CD9"/>
    <w:rsid w:val="00232261"/>
    <w:rsid w:val="00236F29"/>
    <w:rsid w:val="00241F98"/>
    <w:rsid w:val="00244F87"/>
    <w:rsid w:val="002465C8"/>
    <w:rsid w:val="00251FC6"/>
    <w:rsid w:val="002536EA"/>
    <w:rsid w:val="002540DF"/>
    <w:rsid w:val="002541FC"/>
    <w:rsid w:val="0025465A"/>
    <w:rsid w:val="00256ED6"/>
    <w:rsid w:val="0026020F"/>
    <w:rsid w:val="00262164"/>
    <w:rsid w:val="0026457F"/>
    <w:rsid w:val="002652A9"/>
    <w:rsid w:val="00267BA1"/>
    <w:rsid w:val="00267F97"/>
    <w:rsid w:val="00271EE2"/>
    <w:rsid w:val="002738AA"/>
    <w:rsid w:val="0027517E"/>
    <w:rsid w:val="002757AF"/>
    <w:rsid w:val="0028061F"/>
    <w:rsid w:val="00284F4A"/>
    <w:rsid w:val="00285550"/>
    <w:rsid w:val="002907FD"/>
    <w:rsid w:val="00291A38"/>
    <w:rsid w:val="002926DE"/>
    <w:rsid w:val="002961F4"/>
    <w:rsid w:val="0029669F"/>
    <w:rsid w:val="00297EA9"/>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090"/>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27C2"/>
    <w:rsid w:val="0031468F"/>
    <w:rsid w:val="00314F4E"/>
    <w:rsid w:val="003154C2"/>
    <w:rsid w:val="00316B21"/>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36E"/>
    <w:rsid w:val="00351520"/>
    <w:rsid w:val="00352C05"/>
    <w:rsid w:val="00355551"/>
    <w:rsid w:val="003555F1"/>
    <w:rsid w:val="0035695C"/>
    <w:rsid w:val="00360482"/>
    <w:rsid w:val="0036071A"/>
    <w:rsid w:val="00360C78"/>
    <w:rsid w:val="00363B2C"/>
    <w:rsid w:val="0036591C"/>
    <w:rsid w:val="00365E90"/>
    <w:rsid w:val="0036764C"/>
    <w:rsid w:val="00371856"/>
    <w:rsid w:val="00372118"/>
    <w:rsid w:val="003725ED"/>
    <w:rsid w:val="0037354F"/>
    <w:rsid w:val="00373B9F"/>
    <w:rsid w:val="003768A2"/>
    <w:rsid w:val="003779CE"/>
    <w:rsid w:val="00377E8A"/>
    <w:rsid w:val="00382309"/>
    <w:rsid w:val="003874EB"/>
    <w:rsid w:val="00390A1C"/>
    <w:rsid w:val="00390C95"/>
    <w:rsid w:val="003919D9"/>
    <w:rsid w:val="00391DD7"/>
    <w:rsid w:val="00394C4F"/>
    <w:rsid w:val="003A2D96"/>
    <w:rsid w:val="003A6518"/>
    <w:rsid w:val="003A7813"/>
    <w:rsid w:val="003B0C2E"/>
    <w:rsid w:val="003B0F4A"/>
    <w:rsid w:val="003B5972"/>
    <w:rsid w:val="003B5BE0"/>
    <w:rsid w:val="003B6BCC"/>
    <w:rsid w:val="003B6CBE"/>
    <w:rsid w:val="003C051F"/>
    <w:rsid w:val="003C2E39"/>
    <w:rsid w:val="003C314A"/>
    <w:rsid w:val="003C3655"/>
    <w:rsid w:val="003C7F70"/>
    <w:rsid w:val="003D0D08"/>
    <w:rsid w:val="003D10A1"/>
    <w:rsid w:val="003D1A5F"/>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08C6"/>
    <w:rsid w:val="00431C53"/>
    <w:rsid w:val="004323F5"/>
    <w:rsid w:val="00436103"/>
    <w:rsid w:val="0043799F"/>
    <w:rsid w:val="00437A48"/>
    <w:rsid w:val="0044013B"/>
    <w:rsid w:val="00441FB4"/>
    <w:rsid w:val="00442A78"/>
    <w:rsid w:val="00442B8B"/>
    <w:rsid w:val="0044462C"/>
    <w:rsid w:val="004524AF"/>
    <w:rsid w:val="00453748"/>
    <w:rsid w:val="004559D0"/>
    <w:rsid w:val="00456939"/>
    <w:rsid w:val="00461D3A"/>
    <w:rsid w:val="00464412"/>
    <w:rsid w:val="00465DCF"/>
    <w:rsid w:val="004664CC"/>
    <w:rsid w:val="004671CC"/>
    <w:rsid w:val="00470FF2"/>
    <w:rsid w:val="00471166"/>
    <w:rsid w:val="004734D5"/>
    <w:rsid w:val="00475E92"/>
    <w:rsid w:val="00477115"/>
    <w:rsid w:val="00484480"/>
    <w:rsid w:val="00484C8C"/>
    <w:rsid w:val="0049006C"/>
    <w:rsid w:val="00491BD1"/>
    <w:rsid w:val="00492FA0"/>
    <w:rsid w:val="0049518D"/>
    <w:rsid w:val="00495342"/>
    <w:rsid w:val="004962DC"/>
    <w:rsid w:val="004A00AC"/>
    <w:rsid w:val="004A3154"/>
    <w:rsid w:val="004A6607"/>
    <w:rsid w:val="004B20C0"/>
    <w:rsid w:val="004B3CCB"/>
    <w:rsid w:val="004B4A1A"/>
    <w:rsid w:val="004B5624"/>
    <w:rsid w:val="004B6D86"/>
    <w:rsid w:val="004B6FEC"/>
    <w:rsid w:val="004B765A"/>
    <w:rsid w:val="004B7FE0"/>
    <w:rsid w:val="004C216F"/>
    <w:rsid w:val="004C3CBE"/>
    <w:rsid w:val="004C7EA4"/>
    <w:rsid w:val="004D0E6B"/>
    <w:rsid w:val="004D1AB7"/>
    <w:rsid w:val="004D2703"/>
    <w:rsid w:val="004D52A4"/>
    <w:rsid w:val="004D5403"/>
    <w:rsid w:val="004D6D84"/>
    <w:rsid w:val="004D74D5"/>
    <w:rsid w:val="004D77C8"/>
    <w:rsid w:val="004E0359"/>
    <w:rsid w:val="004E16AE"/>
    <w:rsid w:val="004E273F"/>
    <w:rsid w:val="004E3614"/>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07CFC"/>
    <w:rsid w:val="005112D9"/>
    <w:rsid w:val="00511406"/>
    <w:rsid w:val="00513B11"/>
    <w:rsid w:val="00515FCC"/>
    <w:rsid w:val="00516A2F"/>
    <w:rsid w:val="005174FA"/>
    <w:rsid w:val="00517AE0"/>
    <w:rsid w:val="005232FE"/>
    <w:rsid w:val="00524556"/>
    <w:rsid w:val="0052466E"/>
    <w:rsid w:val="00525E21"/>
    <w:rsid w:val="0053002A"/>
    <w:rsid w:val="00534BC2"/>
    <w:rsid w:val="00544E04"/>
    <w:rsid w:val="00544F05"/>
    <w:rsid w:val="00545B07"/>
    <w:rsid w:val="00546891"/>
    <w:rsid w:val="0055302C"/>
    <w:rsid w:val="005532C6"/>
    <w:rsid w:val="00554D79"/>
    <w:rsid w:val="00560781"/>
    <w:rsid w:val="0056080A"/>
    <w:rsid w:val="00560904"/>
    <w:rsid w:val="00561E79"/>
    <w:rsid w:val="005641B5"/>
    <w:rsid w:val="00564B28"/>
    <w:rsid w:val="005658EE"/>
    <w:rsid w:val="00566107"/>
    <w:rsid w:val="00566672"/>
    <w:rsid w:val="00567035"/>
    <w:rsid w:val="00570D3C"/>
    <w:rsid w:val="005735E9"/>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E7388"/>
    <w:rsid w:val="005F2CCA"/>
    <w:rsid w:val="005F431E"/>
    <w:rsid w:val="005F60F2"/>
    <w:rsid w:val="005F6435"/>
    <w:rsid w:val="00602F7D"/>
    <w:rsid w:val="0060791B"/>
    <w:rsid w:val="006204F3"/>
    <w:rsid w:val="006215D8"/>
    <w:rsid w:val="006222AE"/>
    <w:rsid w:val="0062779A"/>
    <w:rsid w:val="00627CD2"/>
    <w:rsid w:val="00631278"/>
    <w:rsid w:val="006349CC"/>
    <w:rsid w:val="00644451"/>
    <w:rsid w:val="00644575"/>
    <w:rsid w:val="00646624"/>
    <w:rsid w:val="00647A28"/>
    <w:rsid w:val="00650589"/>
    <w:rsid w:val="00652AA1"/>
    <w:rsid w:val="006556F6"/>
    <w:rsid w:val="00657440"/>
    <w:rsid w:val="00657D2E"/>
    <w:rsid w:val="0066104A"/>
    <w:rsid w:val="006624E6"/>
    <w:rsid w:val="006633EC"/>
    <w:rsid w:val="006709D6"/>
    <w:rsid w:val="00672CDC"/>
    <w:rsid w:val="00673A04"/>
    <w:rsid w:val="0067500B"/>
    <w:rsid w:val="00676C92"/>
    <w:rsid w:val="006775B2"/>
    <w:rsid w:val="00677D38"/>
    <w:rsid w:val="00681FBC"/>
    <w:rsid w:val="0068310C"/>
    <w:rsid w:val="0068398A"/>
    <w:rsid w:val="00686B11"/>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2AE9"/>
    <w:rsid w:val="006D6AAE"/>
    <w:rsid w:val="006D712B"/>
    <w:rsid w:val="006E0D9E"/>
    <w:rsid w:val="006E1D87"/>
    <w:rsid w:val="006E2ECD"/>
    <w:rsid w:val="006E4409"/>
    <w:rsid w:val="006F2D7D"/>
    <w:rsid w:val="006F2DF4"/>
    <w:rsid w:val="006F451F"/>
    <w:rsid w:val="006F4A6C"/>
    <w:rsid w:val="006F5772"/>
    <w:rsid w:val="006F7236"/>
    <w:rsid w:val="00702923"/>
    <w:rsid w:val="007044DA"/>
    <w:rsid w:val="00706612"/>
    <w:rsid w:val="00711B42"/>
    <w:rsid w:val="00711FC7"/>
    <w:rsid w:val="00711FFD"/>
    <w:rsid w:val="00713994"/>
    <w:rsid w:val="00716AE9"/>
    <w:rsid w:val="00717B5C"/>
    <w:rsid w:val="00721BDE"/>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8B5"/>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5EF"/>
    <w:rsid w:val="007877FD"/>
    <w:rsid w:val="00787D5A"/>
    <w:rsid w:val="007903A0"/>
    <w:rsid w:val="0079701E"/>
    <w:rsid w:val="007973E9"/>
    <w:rsid w:val="007A1422"/>
    <w:rsid w:val="007A1554"/>
    <w:rsid w:val="007A6FEF"/>
    <w:rsid w:val="007A7943"/>
    <w:rsid w:val="007B335E"/>
    <w:rsid w:val="007B35DA"/>
    <w:rsid w:val="007B4066"/>
    <w:rsid w:val="007B5179"/>
    <w:rsid w:val="007B576E"/>
    <w:rsid w:val="007B7D12"/>
    <w:rsid w:val="007B7EC0"/>
    <w:rsid w:val="007C0490"/>
    <w:rsid w:val="007C3D0E"/>
    <w:rsid w:val="007C431C"/>
    <w:rsid w:val="007C4608"/>
    <w:rsid w:val="007C6B35"/>
    <w:rsid w:val="007C6E4B"/>
    <w:rsid w:val="007D0CC6"/>
    <w:rsid w:val="007D10D0"/>
    <w:rsid w:val="007D142D"/>
    <w:rsid w:val="007D6B69"/>
    <w:rsid w:val="007F5608"/>
    <w:rsid w:val="00800A2D"/>
    <w:rsid w:val="008017AB"/>
    <w:rsid w:val="00802567"/>
    <w:rsid w:val="0080472B"/>
    <w:rsid w:val="008054F4"/>
    <w:rsid w:val="0081300F"/>
    <w:rsid w:val="00816942"/>
    <w:rsid w:val="00817B7E"/>
    <w:rsid w:val="00821A1C"/>
    <w:rsid w:val="00821AE4"/>
    <w:rsid w:val="00822614"/>
    <w:rsid w:val="00825688"/>
    <w:rsid w:val="0083590A"/>
    <w:rsid w:val="00835E2B"/>
    <w:rsid w:val="008364AA"/>
    <w:rsid w:val="00837CAF"/>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4A9A"/>
    <w:rsid w:val="008864F0"/>
    <w:rsid w:val="00886C67"/>
    <w:rsid w:val="0089389C"/>
    <w:rsid w:val="0089697C"/>
    <w:rsid w:val="008976F6"/>
    <w:rsid w:val="008A009C"/>
    <w:rsid w:val="008A0709"/>
    <w:rsid w:val="008A13DB"/>
    <w:rsid w:val="008A35B0"/>
    <w:rsid w:val="008A3C12"/>
    <w:rsid w:val="008A4ADA"/>
    <w:rsid w:val="008A4AEB"/>
    <w:rsid w:val="008A4E76"/>
    <w:rsid w:val="008A5C07"/>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E4610"/>
    <w:rsid w:val="008E554E"/>
    <w:rsid w:val="008E79FF"/>
    <w:rsid w:val="008F2CEF"/>
    <w:rsid w:val="008F2D8A"/>
    <w:rsid w:val="008F371F"/>
    <w:rsid w:val="008F3812"/>
    <w:rsid w:val="008F3C2D"/>
    <w:rsid w:val="008F4CE8"/>
    <w:rsid w:val="008F6DA5"/>
    <w:rsid w:val="008F7EA7"/>
    <w:rsid w:val="00900B5F"/>
    <w:rsid w:val="00902D16"/>
    <w:rsid w:val="009031D1"/>
    <w:rsid w:val="0090502E"/>
    <w:rsid w:val="009063A2"/>
    <w:rsid w:val="00907DFF"/>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1FBE"/>
    <w:rsid w:val="0094449B"/>
    <w:rsid w:val="00944582"/>
    <w:rsid w:val="00950425"/>
    <w:rsid w:val="00950CCA"/>
    <w:rsid w:val="00951419"/>
    <w:rsid w:val="00951B5A"/>
    <w:rsid w:val="0095226B"/>
    <w:rsid w:val="0095296B"/>
    <w:rsid w:val="00964A01"/>
    <w:rsid w:val="00964F55"/>
    <w:rsid w:val="00970305"/>
    <w:rsid w:val="00973113"/>
    <w:rsid w:val="00974F86"/>
    <w:rsid w:val="00976B22"/>
    <w:rsid w:val="00977D35"/>
    <w:rsid w:val="00982ABF"/>
    <w:rsid w:val="009848D8"/>
    <w:rsid w:val="00986B11"/>
    <w:rsid w:val="00991057"/>
    <w:rsid w:val="009911EE"/>
    <w:rsid w:val="00992F72"/>
    <w:rsid w:val="00994D1C"/>
    <w:rsid w:val="00996711"/>
    <w:rsid w:val="009A0BB6"/>
    <w:rsid w:val="009A47A2"/>
    <w:rsid w:val="009A5D15"/>
    <w:rsid w:val="009A5E15"/>
    <w:rsid w:val="009A64FD"/>
    <w:rsid w:val="009A66C2"/>
    <w:rsid w:val="009A689F"/>
    <w:rsid w:val="009A6962"/>
    <w:rsid w:val="009B38BC"/>
    <w:rsid w:val="009B5460"/>
    <w:rsid w:val="009B74CB"/>
    <w:rsid w:val="009C0B61"/>
    <w:rsid w:val="009C36FD"/>
    <w:rsid w:val="009C3AA5"/>
    <w:rsid w:val="009C3B9C"/>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0618"/>
    <w:rsid w:val="00A136E1"/>
    <w:rsid w:val="00A15279"/>
    <w:rsid w:val="00A16126"/>
    <w:rsid w:val="00A1642E"/>
    <w:rsid w:val="00A23731"/>
    <w:rsid w:val="00A23FDE"/>
    <w:rsid w:val="00A2475B"/>
    <w:rsid w:val="00A2575F"/>
    <w:rsid w:val="00A2672E"/>
    <w:rsid w:val="00A2689E"/>
    <w:rsid w:val="00A30DF7"/>
    <w:rsid w:val="00A30EDA"/>
    <w:rsid w:val="00A33D6A"/>
    <w:rsid w:val="00A40523"/>
    <w:rsid w:val="00A4157B"/>
    <w:rsid w:val="00A424F8"/>
    <w:rsid w:val="00A558F4"/>
    <w:rsid w:val="00A56000"/>
    <w:rsid w:val="00A568E3"/>
    <w:rsid w:val="00A57B7F"/>
    <w:rsid w:val="00A61A44"/>
    <w:rsid w:val="00A62499"/>
    <w:rsid w:val="00A62E7F"/>
    <w:rsid w:val="00A62FD4"/>
    <w:rsid w:val="00A64A5E"/>
    <w:rsid w:val="00A6750E"/>
    <w:rsid w:val="00A704EE"/>
    <w:rsid w:val="00A70AD4"/>
    <w:rsid w:val="00A71AB4"/>
    <w:rsid w:val="00A76A13"/>
    <w:rsid w:val="00A77BF8"/>
    <w:rsid w:val="00A8051C"/>
    <w:rsid w:val="00A81337"/>
    <w:rsid w:val="00A82A7F"/>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035A"/>
    <w:rsid w:val="00AD3764"/>
    <w:rsid w:val="00AD47C5"/>
    <w:rsid w:val="00AD491F"/>
    <w:rsid w:val="00AE08B0"/>
    <w:rsid w:val="00AE0A35"/>
    <w:rsid w:val="00AE15A6"/>
    <w:rsid w:val="00AE3614"/>
    <w:rsid w:val="00AE388C"/>
    <w:rsid w:val="00AE6778"/>
    <w:rsid w:val="00AE705D"/>
    <w:rsid w:val="00AF2066"/>
    <w:rsid w:val="00AF214C"/>
    <w:rsid w:val="00AF2D42"/>
    <w:rsid w:val="00AF587B"/>
    <w:rsid w:val="00AF6B5B"/>
    <w:rsid w:val="00AF7D5B"/>
    <w:rsid w:val="00AF7F1E"/>
    <w:rsid w:val="00B0017A"/>
    <w:rsid w:val="00B0216D"/>
    <w:rsid w:val="00B04B55"/>
    <w:rsid w:val="00B10460"/>
    <w:rsid w:val="00B11220"/>
    <w:rsid w:val="00B13CB2"/>
    <w:rsid w:val="00B141BD"/>
    <w:rsid w:val="00B16019"/>
    <w:rsid w:val="00B20935"/>
    <w:rsid w:val="00B20C0C"/>
    <w:rsid w:val="00B20C44"/>
    <w:rsid w:val="00B21206"/>
    <w:rsid w:val="00B22235"/>
    <w:rsid w:val="00B25CB0"/>
    <w:rsid w:val="00B26D5C"/>
    <w:rsid w:val="00B27E00"/>
    <w:rsid w:val="00B33571"/>
    <w:rsid w:val="00B3419E"/>
    <w:rsid w:val="00B35630"/>
    <w:rsid w:val="00B359C7"/>
    <w:rsid w:val="00B367AE"/>
    <w:rsid w:val="00B40E6A"/>
    <w:rsid w:val="00B42598"/>
    <w:rsid w:val="00B44F90"/>
    <w:rsid w:val="00B46F1D"/>
    <w:rsid w:val="00B47C93"/>
    <w:rsid w:val="00B50EB1"/>
    <w:rsid w:val="00B52D73"/>
    <w:rsid w:val="00B52F0F"/>
    <w:rsid w:val="00B56E50"/>
    <w:rsid w:val="00B57761"/>
    <w:rsid w:val="00B578B0"/>
    <w:rsid w:val="00B6177D"/>
    <w:rsid w:val="00B64500"/>
    <w:rsid w:val="00B655A4"/>
    <w:rsid w:val="00B668C2"/>
    <w:rsid w:val="00B66A29"/>
    <w:rsid w:val="00B72461"/>
    <w:rsid w:val="00B72EC0"/>
    <w:rsid w:val="00B73475"/>
    <w:rsid w:val="00B734EE"/>
    <w:rsid w:val="00B7393F"/>
    <w:rsid w:val="00B74088"/>
    <w:rsid w:val="00B757AB"/>
    <w:rsid w:val="00B84B90"/>
    <w:rsid w:val="00B85003"/>
    <w:rsid w:val="00B852B6"/>
    <w:rsid w:val="00B86049"/>
    <w:rsid w:val="00B91397"/>
    <w:rsid w:val="00B9187E"/>
    <w:rsid w:val="00B925EB"/>
    <w:rsid w:val="00B9676F"/>
    <w:rsid w:val="00B97D73"/>
    <w:rsid w:val="00BA421E"/>
    <w:rsid w:val="00BA4F5E"/>
    <w:rsid w:val="00BA5E24"/>
    <w:rsid w:val="00BB08C2"/>
    <w:rsid w:val="00BB1E18"/>
    <w:rsid w:val="00BB6018"/>
    <w:rsid w:val="00BC145B"/>
    <w:rsid w:val="00BC1792"/>
    <w:rsid w:val="00BC20DB"/>
    <w:rsid w:val="00BC272A"/>
    <w:rsid w:val="00BC40D5"/>
    <w:rsid w:val="00BC543F"/>
    <w:rsid w:val="00BD080D"/>
    <w:rsid w:val="00BD570F"/>
    <w:rsid w:val="00BD60F0"/>
    <w:rsid w:val="00BE0122"/>
    <w:rsid w:val="00BE1725"/>
    <w:rsid w:val="00BE1C75"/>
    <w:rsid w:val="00BF041C"/>
    <w:rsid w:val="00BF2F52"/>
    <w:rsid w:val="00BF3111"/>
    <w:rsid w:val="00BF6A3A"/>
    <w:rsid w:val="00C01086"/>
    <w:rsid w:val="00C038A3"/>
    <w:rsid w:val="00C03E14"/>
    <w:rsid w:val="00C073E1"/>
    <w:rsid w:val="00C1294B"/>
    <w:rsid w:val="00C13310"/>
    <w:rsid w:val="00C13BA6"/>
    <w:rsid w:val="00C1448F"/>
    <w:rsid w:val="00C14B13"/>
    <w:rsid w:val="00C16EE1"/>
    <w:rsid w:val="00C2096F"/>
    <w:rsid w:val="00C210FC"/>
    <w:rsid w:val="00C23C68"/>
    <w:rsid w:val="00C24702"/>
    <w:rsid w:val="00C37060"/>
    <w:rsid w:val="00C3733D"/>
    <w:rsid w:val="00C408F0"/>
    <w:rsid w:val="00C40913"/>
    <w:rsid w:val="00C4215E"/>
    <w:rsid w:val="00C4330A"/>
    <w:rsid w:val="00C47F01"/>
    <w:rsid w:val="00C50206"/>
    <w:rsid w:val="00C5096F"/>
    <w:rsid w:val="00C5272A"/>
    <w:rsid w:val="00C53259"/>
    <w:rsid w:val="00C54AE0"/>
    <w:rsid w:val="00C61ED6"/>
    <w:rsid w:val="00C65A97"/>
    <w:rsid w:val="00C66630"/>
    <w:rsid w:val="00C66988"/>
    <w:rsid w:val="00C706C0"/>
    <w:rsid w:val="00C73B72"/>
    <w:rsid w:val="00C73D50"/>
    <w:rsid w:val="00C75551"/>
    <w:rsid w:val="00C75E0B"/>
    <w:rsid w:val="00C7614C"/>
    <w:rsid w:val="00C76655"/>
    <w:rsid w:val="00C77933"/>
    <w:rsid w:val="00C8366A"/>
    <w:rsid w:val="00C850EA"/>
    <w:rsid w:val="00C85826"/>
    <w:rsid w:val="00C86A2A"/>
    <w:rsid w:val="00C9643B"/>
    <w:rsid w:val="00C96DBE"/>
    <w:rsid w:val="00CA01DE"/>
    <w:rsid w:val="00CA09B9"/>
    <w:rsid w:val="00CA16B7"/>
    <w:rsid w:val="00CA2E70"/>
    <w:rsid w:val="00CA67FF"/>
    <w:rsid w:val="00CB01DA"/>
    <w:rsid w:val="00CB0522"/>
    <w:rsid w:val="00CB7FD1"/>
    <w:rsid w:val="00CC1474"/>
    <w:rsid w:val="00CC4073"/>
    <w:rsid w:val="00CC6376"/>
    <w:rsid w:val="00CD2576"/>
    <w:rsid w:val="00CD426B"/>
    <w:rsid w:val="00CD57E5"/>
    <w:rsid w:val="00CD76D4"/>
    <w:rsid w:val="00CE1389"/>
    <w:rsid w:val="00CE1662"/>
    <w:rsid w:val="00CE55C5"/>
    <w:rsid w:val="00CE78A1"/>
    <w:rsid w:val="00CF1EC8"/>
    <w:rsid w:val="00CF6476"/>
    <w:rsid w:val="00CF71E9"/>
    <w:rsid w:val="00CF79A7"/>
    <w:rsid w:val="00D00504"/>
    <w:rsid w:val="00D00952"/>
    <w:rsid w:val="00D014B1"/>
    <w:rsid w:val="00D03EBB"/>
    <w:rsid w:val="00D06384"/>
    <w:rsid w:val="00D075CF"/>
    <w:rsid w:val="00D14546"/>
    <w:rsid w:val="00D146EB"/>
    <w:rsid w:val="00D15121"/>
    <w:rsid w:val="00D15899"/>
    <w:rsid w:val="00D16A0B"/>
    <w:rsid w:val="00D22B2A"/>
    <w:rsid w:val="00D23D9F"/>
    <w:rsid w:val="00D3118F"/>
    <w:rsid w:val="00D31F72"/>
    <w:rsid w:val="00D34B1E"/>
    <w:rsid w:val="00D4051D"/>
    <w:rsid w:val="00D40550"/>
    <w:rsid w:val="00D42161"/>
    <w:rsid w:val="00D42D3F"/>
    <w:rsid w:val="00D46123"/>
    <w:rsid w:val="00D47C28"/>
    <w:rsid w:val="00D5105B"/>
    <w:rsid w:val="00D52CBB"/>
    <w:rsid w:val="00D553C2"/>
    <w:rsid w:val="00D55C02"/>
    <w:rsid w:val="00D55D40"/>
    <w:rsid w:val="00D625BB"/>
    <w:rsid w:val="00D62C03"/>
    <w:rsid w:val="00D65130"/>
    <w:rsid w:val="00D654CD"/>
    <w:rsid w:val="00D66D99"/>
    <w:rsid w:val="00D73853"/>
    <w:rsid w:val="00D75267"/>
    <w:rsid w:val="00D80A51"/>
    <w:rsid w:val="00D820EA"/>
    <w:rsid w:val="00D83460"/>
    <w:rsid w:val="00D87003"/>
    <w:rsid w:val="00D872E6"/>
    <w:rsid w:val="00D87EEF"/>
    <w:rsid w:val="00D901EA"/>
    <w:rsid w:val="00D93605"/>
    <w:rsid w:val="00D978B9"/>
    <w:rsid w:val="00DA1B10"/>
    <w:rsid w:val="00DA21F8"/>
    <w:rsid w:val="00DA2DDB"/>
    <w:rsid w:val="00DA354C"/>
    <w:rsid w:val="00DB60ED"/>
    <w:rsid w:val="00DB635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26C1"/>
    <w:rsid w:val="00E0364F"/>
    <w:rsid w:val="00E049D6"/>
    <w:rsid w:val="00E0507E"/>
    <w:rsid w:val="00E07EE8"/>
    <w:rsid w:val="00E117D7"/>
    <w:rsid w:val="00E118F4"/>
    <w:rsid w:val="00E11923"/>
    <w:rsid w:val="00E1352E"/>
    <w:rsid w:val="00E205CD"/>
    <w:rsid w:val="00E2192E"/>
    <w:rsid w:val="00E220FE"/>
    <w:rsid w:val="00E30FC0"/>
    <w:rsid w:val="00E314C4"/>
    <w:rsid w:val="00E33360"/>
    <w:rsid w:val="00E336C2"/>
    <w:rsid w:val="00E34D14"/>
    <w:rsid w:val="00E34D72"/>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2C58"/>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07FB4"/>
    <w:rsid w:val="00F10550"/>
    <w:rsid w:val="00F10891"/>
    <w:rsid w:val="00F116EA"/>
    <w:rsid w:val="00F11837"/>
    <w:rsid w:val="00F11B8F"/>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0C1F"/>
    <w:rsid w:val="00F836E2"/>
    <w:rsid w:val="00F847A0"/>
    <w:rsid w:val="00F8489C"/>
    <w:rsid w:val="00F84BD8"/>
    <w:rsid w:val="00F85449"/>
    <w:rsid w:val="00F903FE"/>
    <w:rsid w:val="00F90F58"/>
    <w:rsid w:val="00F91BB9"/>
    <w:rsid w:val="00F949CD"/>
    <w:rsid w:val="00F94C30"/>
    <w:rsid w:val="00F97AE2"/>
    <w:rsid w:val="00FA131E"/>
    <w:rsid w:val="00FA2866"/>
    <w:rsid w:val="00FB009A"/>
    <w:rsid w:val="00FB2599"/>
    <w:rsid w:val="00FB3196"/>
    <w:rsid w:val="00FB66EF"/>
    <w:rsid w:val="00FB73B5"/>
    <w:rsid w:val="00FC0590"/>
    <w:rsid w:val="00FC17CC"/>
    <w:rsid w:val="00FC2B71"/>
    <w:rsid w:val="00FC44E7"/>
    <w:rsid w:val="00FC6512"/>
    <w:rsid w:val="00FD1BF0"/>
    <w:rsid w:val="00FD2923"/>
    <w:rsid w:val="00FD433D"/>
    <w:rsid w:val="00FD468E"/>
    <w:rsid w:val="00FD6830"/>
    <w:rsid w:val="00FE2D2F"/>
    <w:rsid w:val="00FE3CE1"/>
    <w:rsid w:val="00FE4295"/>
    <w:rsid w:val="00FE42B4"/>
    <w:rsid w:val="00FE4B04"/>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 w:type="paragraph" w:styleId="PlainText">
    <w:name w:val="Plain Text"/>
    <w:basedOn w:val="Normal"/>
    <w:link w:val="PlainTextChar"/>
    <w:uiPriority w:val="99"/>
    <w:unhideWhenUsed/>
    <w:rsid w:val="008F6D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F6DA5"/>
    <w:rPr>
      <w:rFonts w:ascii="Consolas" w:eastAsiaTheme="minorHAnsi" w:hAnsi="Consolas" w:cstheme="minorBidi"/>
      <w:sz w:val="21"/>
      <w:szCs w:val="21"/>
      <w:lang w:eastAsia="en-US"/>
    </w:rPr>
  </w:style>
  <w:style w:type="character" w:styleId="FollowedHyperlink">
    <w:name w:val="FollowedHyperlink"/>
    <w:basedOn w:val="DefaultParagraphFont"/>
    <w:rsid w:val="003B5BE0"/>
    <w:rPr>
      <w:color w:val="800080" w:themeColor="followedHyperlink"/>
      <w:u w:val="single"/>
    </w:rPr>
  </w:style>
  <w:style w:type="table" w:styleId="TableGrid">
    <w:name w:val="Table Grid"/>
    <w:basedOn w:val="TableNormal"/>
    <w:rsid w:val="00BD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87794">
      <w:bodyDiv w:val="1"/>
      <w:marLeft w:val="0"/>
      <w:marRight w:val="0"/>
      <w:marTop w:val="0"/>
      <w:marBottom w:val="0"/>
      <w:divBdr>
        <w:top w:val="none" w:sz="0" w:space="0" w:color="auto"/>
        <w:left w:val="none" w:sz="0" w:space="0" w:color="auto"/>
        <w:bottom w:val="none" w:sz="0" w:space="0" w:color="auto"/>
        <w:right w:val="none" w:sz="0" w:space="0" w:color="auto"/>
      </w:divBdr>
    </w:div>
    <w:div w:id="211616722">
      <w:bodyDiv w:val="1"/>
      <w:marLeft w:val="0"/>
      <w:marRight w:val="0"/>
      <w:marTop w:val="0"/>
      <w:marBottom w:val="0"/>
      <w:divBdr>
        <w:top w:val="none" w:sz="0" w:space="0" w:color="auto"/>
        <w:left w:val="none" w:sz="0" w:space="0" w:color="auto"/>
        <w:bottom w:val="none" w:sz="0" w:space="0" w:color="auto"/>
        <w:right w:val="none" w:sz="0" w:space="0" w:color="auto"/>
      </w:divBdr>
    </w:div>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495343387">
      <w:bodyDiv w:val="1"/>
      <w:marLeft w:val="0"/>
      <w:marRight w:val="0"/>
      <w:marTop w:val="0"/>
      <w:marBottom w:val="0"/>
      <w:divBdr>
        <w:top w:val="none" w:sz="0" w:space="0" w:color="auto"/>
        <w:left w:val="none" w:sz="0" w:space="0" w:color="auto"/>
        <w:bottom w:val="none" w:sz="0" w:space="0" w:color="auto"/>
        <w:right w:val="none" w:sz="0" w:space="0" w:color="auto"/>
      </w:divBdr>
    </w:div>
    <w:div w:id="508983271">
      <w:bodyDiv w:val="1"/>
      <w:marLeft w:val="0"/>
      <w:marRight w:val="0"/>
      <w:marTop w:val="0"/>
      <w:marBottom w:val="0"/>
      <w:divBdr>
        <w:top w:val="none" w:sz="0" w:space="0" w:color="auto"/>
        <w:left w:val="none" w:sz="0" w:space="0" w:color="auto"/>
        <w:bottom w:val="none" w:sz="0" w:space="0" w:color="auto"/>
        <w:right w:val="none" w:sz="0" w:space="0" w:color="auto"/>
      </w:divBdr>
    </w:div>
    <w:div w:id="608204383">
      <w:bodyDiv w:val="1"/>
      <w:marLeft w:val="0"/>
      <w:marRight w:val="0"/>
      <w:marTop w:val="0"/>
      <w:marBottom w:val="0"/>
      <w:divBdr>
        <w:top w:val="none" w:sz="0" w:space="0" w:color="auto"/>
        <w:left w:val="none" w:sz="0" w:space="0" w:color="auto"/>
        <w:bottom w:val="none" w:sz="0" w:space="0" w:color="auto"/>
        <w:right w:val="none" w:sz="0" w:space="0" w:color="auto"/>
      </w:divBdr>
    </w:div>
    <w:div w:id="650325630">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961496598">
      <w:bodyDiv w:val="1"/>
      <w:marLeft w:val="0"/>
      <w:marRight w:val="0"/>
      <w:marTop w:val="0"/>
      <w:marBottom w:val="0"/>
      <w:divBdr>
        <w:top w:val="none" w:sz="0" w:space="0" w:color="auto"/>
        <w:left w:val="none" w:sz="0" w:space="0" w:color="auto"/>
        <w:bottom w:val="none" w:sz="0" w:space="0" w:color="auto"/>
        <w:right w:val="none" w:sz="0" w:space="0" w:color="auto"/>
      </w:divBdr>
    </w:div>
    <w:div w:id="1140459532">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1312708900">
      <w:bodyDiv w:val="1"/>
      <w:marLeft w:val="0"/>
      <w:marRight w:val="0"/>
      <w:marTop w:val="0"/>
      <w:marBottom w:val="0"/>
      <w:divBdr>
        <w:top w:val="none" w:sz="0" w:space="0" w:color="auto"/>
        <w:left w:val="none" w:sz="0" w:space="0" w:color="auto"/>
        <w:bottom w:val="none" w:sz="0" w:space="0" w:color="auto"/>
        <w:right w:val="none" w:sz="0" w:space="0" w:color="auto"/>
      </w:divBdr>
    </w:div>
    <w:div w:id="1419908499">
      <w:bodyDiv w:val="1"/>
      <w:marLeft w:val="0"/>
      <w:marRight w:val="0"/>
      <w:marTop w:val="0"/>
      <w:marBottom w:val="0"/>
      <w:divBdr>
        <w:top w:val="none" w:sz="0" w:space="0" w:color="auto"/>
        <w:left w:val="none" w:sz="0" w:space="0" w:color="auto"/>
        <w:bottom w:val="none" w:sz="0" w:space="0" w:color="auto"/>
        <w:right w:val="none" w:sz="0" w:space="0" w:color="auto"/>
      </w:divBdr>
    </w:div>
    <w:div w:id="1498381079">
      <w:bodyDiv w:val="1"/>
      <w:marLeft w:val="0"/>
      <w:marRight w:val="0"/>
      <w:marTop w:val="0"/>
      <w:marBottom w:val="0"/>
      <w:divBdr>
        <w:top w:val="none" w:sz="0" w:space="0" w:color="auto"/>
        <w:left w:val="none" w:sz="0" w:space="0" w:color="auto"/>
        <w:bottom w:val="none" w:sz="0" w:space="0" w:color="auto"/>
        <w:right w:val="none" w:sz="0" w:space="0" w:color="auto"/>
      </w:divBdr>
    </w:div>
    <w:div w:id="1601840084">
      <w:bodyDiv w:val="1"/>
      <w:marLeft w:val="0"/>
      <w:marRight w:val="0"/>
      <w:marTop w:val="0"/>
      <w:marBottom w:val="0"/>
      <w:divBdr>
        <w:top w:val="none" w:sz="0" w:space="0" w:color="auto"/>
        <w:left w:val="none" w:sz="0" w:space="0" w:color="auto"/>
        <w:bottom w:val="none" w:sz="0" w:space="0" w:color="auto"/>
        <w:right w:val="none" w:sz="0" w:space="0" w:color="auto"/>
      </w:divBdr>
    </w:div>
    <w:div w:id="1605258759">
      <w:bodyDiv w:val="1"/>
      <w:marLeft w:val="0"/>
      <w:marRight w:val="0"/>
      <w:marTop w:val="0"/>
      <w:marBottom w:val="0"/>
      <w:divBdr>
        <w:top w:val="none" w:sz="0" w:space="0" w:color="auto"/>
        <w:left w:val="none" w:sz="0" w:space="0" w:color="auto"/>
        <w:bottom w:val="none" w:sz="0" w:space="0" w:color="auto"/>
        <w:right w:val="none" w:sz="0" w:space="0" w:color="auto"/>
      </w:divBdr>
    </w:div>
    <w:div w:id="1711034570">
      <w:bodyDiv w:val="1"/>
      <w:marLeft w:val="0"/>
      <w:marRight w:val="0"/>
      <w:marTop w:val="0"/>
      <w:marBottom w:val="0"/>
      <w:divBdr>
        <w:top w:val="none" w:sz="0" w:space="0" w:color="auto"/>
        <w:left w:val="none" w:sz="0" w:space="0" w:color="auto"/>
        <w:bottom w:val="none" w:sz="0" w:space="0" w:color="auto"/>
        <w:right w:val="none" w:sz="0" w:space="0" w:color="auto"/>
      </w:divBdr>
    </w:div>
    <w:div w:id="1876846638">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co.mppmu.mpg.de/indico/materialDisplay.py?contribId=0&amp;materialId=slides&amp;confId=1320" TargetMode="External"/><Relationship Id="rId13" Type="http://schemas.openxmlformats.org/officeDocument/2006/relationships/hyperlink" Target="http://indico.mppmu.mpg.de/indico/getFile.py/access?contribId=3&amp;resId=0&amp;materialId=slides&amp;confId=1320" TargetMode="External"/><Relationship Id="rId18" Type="http://schemas.openxmlformats.org/officeDocument/2006/relationships/hyperlink" Target="http://indico.mppmu.mpg.de/indico/materialDisplay.py?contribId=4&amp;materialId=slides&amp;confId=13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indico.mppmu.mpg.de/indico/materialDisplay.py?contribId=3&amp;materialId=slides&amp;confId=132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indico.mppmu.mpg.de/indico/getFile.py/access?contribId=6&amp;resId=0&amp;materialId=slides&amp;confId=13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dico.mppmu.mpg.de/indico/conferenceDisplay.py?confId=1320#top" TargetMode="External"/><Relationship Id="rId11" Type="http://schemas.openxmlformats.org/officeDocument/2006/relationships/image" Target="media/image3.png"/><Relationship Id="rId5" Type="http://schemas.openxmlformats.org/officeDocument/2006/relationships/hyperlink" Target="http://indico.mppmu.mpg.de/indico/conferenceDisplay.py?confId=1320" TargetMode="External"/><Relationship Id="rId15" Type="http://schemas.openxmlformats.org/officeDocument/2006/relationships/hyperlink" Target="http://indico.mppmu.mpg.de/indico/getFile.py/access?contribId=6&amp;resId=1&amp;materialId=slides&amp;confId=1320" TargetMode="External"/><Relationship Id="rId10" Type="http://schemas.openxmlformats.org/officeDocument/2006/relationships/hyperlink" Target="http://indico.mppmu.mpg.de/indico/getFile.py/access?contribId=0&amp;resId=0&amp;materialId=slides&amp;confId=1320" TargetMode="External"/><Relationship Id="rId19" Type="http://schemas.openxmlformats.org/officeDocument/2006/relationships/hyperlink" Target="http://indico.mppmu.mpg.de/indico/getFile.py/access?contribId=4&amp;resId=0&amp;materialId=slides&amp;confId=13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indico.mppmu.mpg.de/indico/materialDisplay.py?contribId=6&amp;materialId=slides&amp;confId=1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6640</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11</cp:revision>
  <cp:lastPrinted>2011-06-01T09:23:00Z</cp:lastPrinted>
  <dcterms:created xsi:type="dcterms:W3CDTF">2011-06-22T09:56:00Z</dcterms:created>
  <dcterms:modified xsi:type="dcterms:W3CDTF">2011-06-27T13:13:00Z</dcterms:modified>
</cp:coreProperties>
</file>