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87" w:rsidRPr="00693E5D" w:rsidRDefault="00693E5D">
      <w:pPr>
        <w:rPr>
          <w:lang w:val="en-GB"/>
        </w:rPr>
      </w:pPr>
      <w:r>
        <w:rPr>
          <w:b/>
          <w:lang w:val="en-GB"/>
        </w:rPr>
        <w:t>Minutes, 73th PXD EVO Meeting, September 16, 2014, 10:00</w:t>
      </w:r>
    </w:p>
    <w:p w:rsidR="003D3487" w:rsidRPr="00693E5D" w:rsidRDefault="00693E5D">
      <w:pPr>
        <w:rPr>
          <w:lang w:val="en-GB"/>
        </w:rPr>
      </w:pPr>
      <w:r>
        <w:rPr>
          <w:lang w:val="en-GB"/>
        </w:rPr>
        <w:t xml:space="preserve">Present: H.-G. Moser, C. Kiesling, D. Klose, J. Ninkovic,  C. </w:t>
      </w:r>
      <w:proofErr w:type="spellStart"/>
      <w:r>
        <w:rPr>
          <w:lang w:val="en-GB"/>
        </w:rPr>
        <w:t>Kreidl</w:t>
      </w:r>
      <w:proofErr w:type="spellEnd"/>
      <w:r>
        <w:rPr>
          <w:lang w:val="en-GB"/>
        </w:rPr>
        <w:t xml:space="preserve">,  D. </w:t>
      </w:r>
      <w:proofErr w:type="spellStart"/>
      <w:r>
        <w:rPr>
          <w:lang w:val="en-GB"/>
        </w:rPr>
        <w:t>Levit</w:t>
      </w:r>
      <w:proofErr w:type="spellEnd"/>
      <w:r>
        <w:rPr>
          <w:lang w:val="en-GB"/>
        </w:rPr>
        <w:t xml:space="preserve">,  L. Andricek,   C. Niebuhr,  C. Koffmane, S. Lange, B. </w:t>
      </w:r>
      <w:proofErr w:type="spellStart"/>
      <w:r>
        <w:rPr>
          <w:lang w:val="en-GB"/>
        </w:rPr>
        <w:t>Kisielev</w:t>
      </w:r>
      <w:proofErr w:type="spellEnd"/>
      <w:r>
        <w:rPr>
          <w:lang w:val="en-GB"/>
        </w:rPr>
        <w:t>, S. Tanaka, S. Rummel.</w:t>
      </w:r>
    </w:p>
    <w:p w:rsidR="003D3487" w:rsidRDefault="00693E5D">
      <w:pPr>
        <w:numPr>
          <w:ilvl w:val="0"/>
          <w:numId w:val="1"/>
        </w:numPr>
        <w:spacing w:before="28" w:after="28" w:line="100" w:lineRule="atLeast"/>
        <w:ind w:left="0" w:firstLine="0"/>
      </w:pPr>
      <w:r>
        <w:rPr>
          <w:lang w:val="en-GB"/>
        </w:rPr>
        <w:t>Agenda</w:t>
      </w:r>
    </w:p>
    <w:p w:rsidR="003D3487" w:rsidRDefault="00693E5D">
      <w:pPr>
        <w:numPr>
          <w:ilvl w:val="0"/>
          <w:numId w:val="1"/>
        </w:numPr>
        <w:spacing w:before="28" w:after="28" w:line="100" w:lineRule="atLeast"/>
      </w:pPr>
      <w:r>
        <w:rPr>
          <w:rStyle w:val="day"/>
          <w:rFonts w:ascii="Verdana" w:hAnsi="Verdana"/>
          <w:color w:val="222222"/>
          <w:sz w:val="27"/>
          <w:szCs w:val="27"/>
          <w:shd w:val="clear" w:color="auto" w:fill="D3DCE3"/>
          <w:lang w:val="en-GB"/>
        </w:rPr>
        <w:t xml:space="preserve">Tuesday, 16 September </w:t>
      </w:r>
      <w:r>
        <w:rPr>
          <w:rStyle w:val="day"/>
          <w:rFonts w:ascii="Verdana" w:hAnsi="Verdana"/>
          <w:color w:val="222222"/>
          <w:sz w:val="27"/>
          <w:szCs w:val="27"/>
          <w:shd w:val="clear" w:color="auto" w:fill="D3DCE3"/>
          <w:lang w:val="en-GB"/>
        </w:rPr>
        <w:t>2014</w:t>
      </w:r>
    </w:p>
    <w:p w:rsidR="003D3487" w:rsidRDefault="00693E5D">
      <w:pPr>
        <w:numPr>
          <w:ilvl w:val="1"/>
          <w:numId w:val="1"/>
        </w:numPr>
        <w:spacing w:after="0" w:line="100" w:lineRule="atLeast"/>
      </w:pPr>
      <w:r>
        <w:rPr>
          <w:rStyle w:val="topleveltime"/>
          <w:rFonts w:ascii="Arial" w:hAnsi="Arial" w:cs="Arial"/>
          <w:color w:val="444444"/>
          <w:sz w:val="21"/>
          <w:szCs w:val="21"/>
          <w:lang w:val="en-GB"/>
        </w:rPr>
        <w:t xml:space="preserve">10:00 - 10:10 </w:t>
      </w:r>
      <w:proofErr w:type="spellStart"/>
      <w:r>
        <w:rPr>
          <w:rStyle w:val="topleveltitle"/>
          <w:rFonts w:ascii="Verdana" w:hAnsi="Verdana"/>
          <w:color w:val="333333"/>
          <w:lang w:val="en-GB"/>
        </w:rPr>
        <w:t>IBBelle</w:t>
      </w:r>
      <w:proofErr w:type="spellEnd"/>
      <w:r>
        <w:rPr>
          <w:rStyle w:val="topleveltitle"/>
          <w:rFonts w:ascii="Verdana" w:hAnsi="Verdana"/>
          <w:color w:val="333333"/>
          <w:lang w:val="en-GB"/>
        </w:rPr>
        <w:t xml:space="preserve"> Status</w:t>
      </w:r>
      <w:r>
        <w:rPr>
          <w:rStyle w:val="apple-converted-space"/>
          <w:rFonts w:ascii="Verdana" w:hAnsi="Verdana"/>
          <w:color w:val="000000"/>
          <w:sz w:val="20"/>
          <w:szCs w:val="20"/>
          <w:lang w:val="en-GB"/>
        </w:rPr>
        <w:t> </w:t>
      </w:r>
      <w:r>
        <w:rPr>
          <w:rStyle w:val="Betont"/>
          <w:rFonts w:ascii="Verdana" w:hAnsi="Verdana"/>
          <w:color w:val="444444"/>
          <w:sz w:val="20"/>
          <w:szCs w:val="20"/>
          <w:lang w:val="en-GB"/>
        </w:rPr>
        <w:t>10'</w:t>
      </w:r>
    </w:p>
    <w:tbl>
      <w:tblPr>
        <w:tblW w:w="0" w:type="auto"/>
        <w:tblInd w:w="-15" w:type="dxa"/>
        <w:tblCellMar>
          <w:left w:w="10" w:type="dxa"/>
          <w:right w:w="10" w:type="dxa"/>
        </w:tblCellMar>
        <w:tblLook w:val="0000" w:firstRow="0" w:lastRow="0" w:firstColumn="0" w:lastColumn="0" w:noHBand="0" w:noVBand="0"/>
      </w:tblPr>
      <w:tblGrid>
        <w:gridCol w:w="1186"/>
        <w:gridCol w:w="1815"/>
      </w:tblGrid>
      <w:tr w:rsidR="003D3487">
        <w:tblPrEx>
          <w:tblCellMar>
            <w:top w:w="0" w:type="dxa"/>
            <w:bottom w:w="0" w:type="dxa"/>
          </w:tblCellMar>
        </w:tblPrEx>
        <w:tc>
          <w:tcPr>
            <w:tcW w:w="1186" w:type="dxa"/>
            <w:shd w:val="clear" w:color="auto" w:fill="auto"/>
            <w:tcMar>
              <w:top w:w="15" w:type="dxa"/>
              <w:left w:w="15" w:type="dxa"/>
              <w:bottom w:w="15" w:type="dxa"/>
              <w:right w:w="15" w:type="dxa"/>
            </w:tcMar>
          </w:tcPr>
          <w:p w:rsidR="003D3487" w:rsidRDefault="00693E5D">
            <w:proofErr w:type="spellStart"/>
            <w:r>
              <w:rPr>
                <w:rFonts w:ascii="Verdana" w:hAnsi="Verdana"/>
                <w:color w:val="444444"/>
                <w:sz w:val="20"/>
                <w:szCs w:val="20"/>
                <w:lang w:val="en-GB"/>
              </w:rPr>
              <w:t>Sprecher</w:t>
            </w:r>
            <w:proofErr w:type="spellEnd"/>
            <w:r>
              <w:rPr>
                <w:rFonts w:ascii="Verdana" w:hAnsi="Verdana"/>
                <w:color w:val="444444"/>
                <w:sz w:val="20"/>
                <w:szCs w:val="20"/>
                <w:lang w:val="en-GB"/>
              </w:rPr>
              <w:t>:</w:t>
            </w:r>
          </w:p>
        </w:tc>
        <w:tc>
          <w:tcPr>
            <w:tcW w:w="1815" w:type="dxa"/>
            <w:shd w:val="clear" w:color="auto" w:fill="auto"/>
            <w:tcMar>
              <w:top w:w="15" w:type="dxa"/>
              <w:left w:w="15" w:type="dxa"/>
              <w:bottom w:w="15" w:type="dxa"/>
              <w:right w:w="15" w:type="dxa"/>
            </w:tcMar>
          </w:tcPr>
          <w:p w:rsidR="003D3487" w:rsidRDefault="00693E5D">
            <w:r>
              <w:rPr>
                <w:rFonts w:ascii="Verdana" w:hAnsi="Verdana"/>
                <w:color w:val="444444"/>
                <w:sz w:val="20"/>
                <w:szCs w:val="20"/>
                <w:lang w:val="en-GB"/>
              </w:rPr>
              <w:t>Christian</w:t>
            </w:r>
            <w:r>
              <w:rPr>
                <w:rStyle w:val="apple-converted-space"/>
                <w:rFonts w:ascii="Verdana" w:hAnsi="Verdana"/>
                <w:color w:val="444444"/>
                <w:sz w:val="20"/>
                <w:szCs w:val="20"/>
                <w:lang w:val="en-GB"/>
              </w:rPr>
              <w:t> </w:t>
            </w:r>
            <w:r>
              <w:rPr>
                <w:rFonts w:ascii="Verdana" w:hAnsi="Verdana"/>
                <w:color w:val="444444"/>
                <w:sz w:val="20"/>
                <w:szCs w:val="20"/>
                <w:lang w:val="en-GB"/>
              </w:rPr>
              <w:t>Kiesling</w:t>
            </w:r>
          </w:p>
        </w:tc>
      </w:tr>
      <w:tr w:rsidR="003D3487">
        <w:tblPrEx>
          <w:tblCellMar>
            <w:top w:w="0" w:type="dxa"/>
            <w:bottom w:w="0" w:type="dxa"/>
          </w:tblCellMar>
        </w:tblPrEx>
        <w:tc>
          <w:tcPr>
            <w:tcW w:w="1186" w:type="dxa"/>
            <w:shd w:val="clear" w:color="auto" w:fill="auto"/>
            <w:tcMar>
              <w:top w:w="15" w:type="dxa"/>
              <w:left w:w="15" w:type="dxa"/>
              <w:bottom w:w="15" w:type="dxa"/>
              <w:right w:w="15" w:type="dxa"/>
            </w:tcMar>
          </w:tcPr>
          <w:p w:rsidR="003D3487" w:rsidRDefault="00693E5D">
            <w:r>
              <w:rPr>
                <w:rFonts w:ascii="Verdana" w:hAnsi="Verdana"/>
                <w:color w:val="444444"/>
                <w:sz w:val="20"/>
                <w:szCs w:val="20"/>
                <w:lang w:val="en-GB"/>
              </w:rPr>
              <w:t>Material:</w:t>
            </w:r>
          </w:p>
        </w:tc>
        <w:tc>
          <w:tcPr>
            <w:tcW w:w="1815" w:type="dxa"/>
            <w:shd w:val="clear" w:color="auto" w:fill="auto"/>
            <w:tcMar>
              <w:top w:w="15" w:type="dxa"/>
              <w:left w:w="15" w:type="dxa"/>
              <w:bottom w:w="15" w:type="dxa"/>
              <w:right w:w="15" w:type="dxa"/>
            </w:tcMar>
          </w:tcPr>
          <w:p w:rsidR="003D3487" w:rsidRDefault="00693E5D">
            <w:hyperlink r:id="rId6">
              <w:proofErr w:type="spellStart"/>
              <w:r>
                <w:rPr>
                  <w:rStyle w:val="Internetlink"/>
                  <w:rFonts w:ascii="Verdana" w:hAnsi="Verdana"/>
                  <w:b/>
                  <w:bCs/>
                  <w:color w:val="333333"/>
                  <w:sz w:val="18"/>
                  <w:szCs w:val="18"/>
                  <w:shd w:val="clear" w:color="auto" w:fill="DDDDDD"/>
                </w:rPr>
                <w:t>Slides</w:t>
              </w:r>
              <w:proofErr w:type="spellEnd"/>
              <w:r>
                <w:rPr>
                  <w:noProof/>
                  <w:lang w:eastAsia="de-DE"/>
                </w:rPr>
                <w:drawing>
                  <wp:inline distT="0" distB="0" distL="0" distR="0">
                    <wp:extent cx="152400" cy="152400"/>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p>
        </w:tc>
      </w:tr>
    </w:tbl>
    <w:p w:rsidR="003D3487" w:rsidRDefault="00693E5D">
      <w:pPr>
        <w:numPr>
          <w:ilvl w:val="1"/>
          <w:numId w:val="1"/>
        </w:numPr>
        <w:spacing w:after="0" w:line="100" w:lineRule="atLeast"/>
      </w:pPr>
      <w:r>
        <w:rPr>
          <w:rStyle w:val="topleveltime"/>
          <w:rFonts w:ascii="Arial" w:hAnsi="Arial" w:cs="Arial"/>
          <w:color w:val="444444"/>
          <w:sz w:val="21"/>
          <w:szCs w:val="21"/>
        </w:rPr>
        <w:t xml:space="preserve">10:10 - 10:20 </w:t>
      </w:r>
      <w:r>
        <w:rPr>
          <w:rStyle w:val="topleveltitle"/>
          <w:rFonts w:ascii="Verdana" w:hAnsi="Verdana"/>
          <w:color w:val="333333"/>
        </w:rPr>
        <w:t xml:space="preserve">PS </w:t>
      </w:r>
      <w:proofErr w:type="spellStart"/>
      <w:r>
        <w:rPr>
          <w:rStyle w:val="topleveltitle"/>
          <w:rFonts w:ascii="Verdana" w:hAnsi="Verdana"/>
          <w:color w:val="333333"/>
        </w:rPr>
        <w:t>and</w:t>
      </w:r>
      <w:proofErr w:type="spellEnd"/>
      <w:r>
        <w:rPr>
          <w:rStyle w:val="topleveltitle"/>
          <w:rFonts w:ascii="Verdana" w:hAnsi="Verdana"/>
          <w:color w:val="333333"/>
        </w:rPr>
        <w:t xml:space="preserve"> Services</w:t>
      </w:r>
      <w:r>
        <w:rPr>
          <w:rStyle w:val="apple-converted-space"/>
          <w:rFonts w:ascii="Verdana" w:hAnsi="Verdana"/>
          <w:color w:val="000000"/>
          <w:sz w:val="20"/>
          <w:szCs w:val="20"/>
        </w:rPr>
        <w:t> </w:t>
      </w:r>
      <w:r>
        <w:rPr>
          <w:rStyle w:val="Betont"/>
          <w:rFonts w:ascii="Verdana" w:hAnsi="Verdana"/>
          <w:color w:val="444444"/>
          <w:sz w:val="20"/>
          <w:szCs w:val="20"/>
        </w:rPr>
        <w:t>10'</w:t>
      </w:r>
    </w:p>
    <w:tbl>
      <w:tblPr>
        <w:tblW w:w="0" w:type="auto"/>
        <w:tblInd w:w="-15" w:type="dxa"/>
        <w:tblCellMar>
          <w:left w:w="10" w:type="dxa"/>
          <w:right w:w="10" w:type="dxa"/>
        </w:tblCellMar>
        <w:tblLook w:val="0000" w:firstRow="0" w:lastRow="0" w:firstColumn="0" w:lastColumn="0" w:noHBand="0" w:noVBand="0"/>
      </w:tblPr>
      <w:tblGrid>
        <w:gridCol w:w="1187"/>
        <w:gridCol w:w="1625"/>
      </w:tblGrid>
      <w:tr w:rsidR="003D3487">
        <w:tblPrEx>
          <w:tblCellMar>
            <w:top w:w="0" w:type="dxa"/>
            <w:bottom w:w="0" w:type="dxa"/>
          </w:tblCellMar>
        </w:tblPrEx>
        <w:tc>
          <w:tcPr>
            <w:tcW w:w="1187" w:type="dxa"/>
            <w:shd w:val="clear" w:color="auto" w:fill="auto"/>
            <w:tcMar>
              <w:top w:w="15" w:type="dxa"/>
              <w:left w:w="15" w:type="dxa"/>
              <w:bottom w:w="15" w:type="dxa"/>
              <w:right w:w="15" w:type="dxa"/>
            </w:tcMar>
          </w:tcPr>
          <w:p w:rsidR="003D3487" w:rsidRDefault="00693E5D">
            <w:r>
              <w:rPr>
                <w:rFonts w:ascii="Verdana" w:hAnsi="Verdana"/>
                <w:color w:val="444444"/>
                <w:sz w:val="20"/>
                <w:szCs w:val="20"/>
              </w:rPr>
              <w:t>Sprecher:</w:t>
            </w:r>
          </w:p>
        </w:tc>
        <w:tc>
          <w:tcPr>
            <w:tcW w:w="1625" w:type="dxa"/>
            <w:shd w:val="clear" w:color="auto" w:fill="auto"/>
            <w:tcMar>
              <w:top w:w="15" w:type="dxa"/>
              <w:left w:w="15" w:type="dxa"/>
              <w:bottom w:w="15" w:type="dxa"/>
              <w:right w:w="15" w:type="dxa"/>
            </w:tcMar>
          </w:tcPr>
          <w:p w:rsidR="003D3487" w:rsidRDefault="00693E5D">
            <w:r>
              <w:rPr>
                <w:rFonts w:ascii="Verdana" w:hAnsi="Verdana"/>
                <w:color w:val="444444"/>
                <w:sz w:val="20"/>
                <w:szCs w:val="20"/>
              </w:rPr>
              <w:t>Stefan</w:t>
            </w:r>
            <w:r>
              <w:rPr>
                <w:rStyle w:val="apple-converted-space"/>
                <w:rFonts w:ascii="Verdana" w:hAnsi="Verdana"/>
                <w:color w:val="444444"/>
                <w:sz w:val="20"/>
                <w:szCs w:val="20"/>
              </w:rPr>
              <w:t> </w:t>
            </w:r>
            <w:r>
              <w:rPr>
                <w:rFonts w:ascii="Verdana" w:hAnsi="Verdana"/>
                <w:color w:val="444444"/>
                <w:sz w:val="20"/>
                <w:szCs w:val="20"/>
              </w:rPr>
              <w:t>Rummel</w:t>
            </w:r>
          </w:p>
        </w:tc>
      </w:tr>
      <w:tr w:rsidR="003D3487">
        <w:tblPrEx>
          <w:tblCellMar>
            <w:top w:w="0" w:type="dxa"/>
            <w:bottom w:w="0" w:type="dxa"/>
          </w:tblCellMar>
        </w:tblPrEx>
        <w:tc>
          <w:tcPr>
            <w:tcW w:w="1187" w:type="dxa"/>
            <w:shd w:val="clear" w:color="auto" w:fill="auto"/>
            <w:tcMar>
              <w:top w:w="15" w:type="dxa"/>
              <w:left w:w="15" w:type="dxa"/>
              <w:bottom w:w="15" w:type="dxa"/>
              <w:right w:w="15" w:type="dxa"/>
            </w:tcMar>
          </w:tcPr>
          <w:p w:rsidR="003D3487" w:rsidRDefault="00693E5D">
            <w:r>
              <w:rPr>
                <w:rFonts w:ascii="Verdana" w:hAnsi="Verdana"/>
                <w:color w:val="444444"/>
                <w:sz w:val="20"/>
                <w:szCs w:val="20"/>
              </w:rPr>
              <w:t>Material:</w:t>
            </w:r>
          </w:p>
        </w:tc>
        <w:tc>
          <w:tcPr>
            <w:tcW w:w="1625" w:type="dxa"/>
            <w:shd w:val="clear" w:color="auto" w:fill="auto"/>
            <w:tcMar>
              <w:top w:w="15" w:type="dxa"/>
              <w:left w:w="15" w:type="dxa"/>
              <w:bottom w:w="15" w:type="dxa"/>
              <w:right w:w="15" w:type="dxa"/>
            </w:tcMar>
          </w:tcPr>
          <w:p w:rsidR="003D3487" w:rsidRDefault="00693E5D">
            <w:hyperlink r:id="rId8">
              <w:proofErr w:type="spellStart"/>
              <w:r>
                <w:rPr>
                  <w:rStyle w:val="Internetlink"/>
                  <w:rFonts w:ascii="Verdana" w:hAnsi="Verdana"/>
                  <w:b/>
                  <w:bCs/>
                  <w:color w:val="333333"/>
                  <w:sz w:val="18"/>
                  <w:szCs w:val="18"/>
                  <w:shd w:val="clear" w:color="auto" w:fill="DDDDDD"/>
                </w:rPr>
                <w:t>Slides</w:t>
              </w:r>
              <w:proofErr w:type="spellEnd"/>
              <w:r>
                <w:rPr>
                  <w:noProof/>
                  <w:lang w:eastAsia="de-DE"/>
                </w:rPr>
                <w:drawing>
                  <wp:inline distT="0" distB="0" distL="0" distR="0">
                    <wp:extent cx="152400" cy="152400"/>
                    <wp:effectExtent l="0" t="0" r="0" b="0"/>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p>
        </w:tc>
      </w:tr>
    </w:tbl>
    <w:p w:rsidR="003D3487" w:rsidRDefault="00693E5D">
      <w:pPr>
        <w:numPr>
          <w:ilvl w:val="1"/>
          <w:numId w:val="1"/>
        </w:numPr>
        <w:spacing w:after="0" w:line="100" w:lineRule="atLeast"/>
      </w:pPr>
      <w:r>
        <w:rPr>
          <w:rStyle w:val="topleveltime"/>
          <w:rFonts w:ascii="Arial" w:hAnsi="Arial" w:cs="Arial"/>
          <w:color w:val="444444"/>
          <w:sz w:val="21"/>
          <w:szCs w:val="21"/>
        </w:rPr>
        <w:t xml:space="preserve">10:20 - 10:30 </w:t>
      </w:r>
      <w:r>
        <w:rPr>
          <w:rStyle w:val="topleveltitle"/>
          <w:rFonts w:ascii="Verdana" w:hAnsi="Verdana"/>
          <w:color w:val="333333"/>
        </w:rPr>
        <w:t xml:space="preserve">Thermal </w:t>
      </w:r>
      <w:proofErr w:type="spellStart"/>
      <w:r>
        <w:rPr>
          <w:rStyle w:val="topleveltitle"/>
          <w:rFonts w:ascii="Verdana" w:hAnsi="Verdana"/>
          <w:color w:val="333333"/>
        </w:rPr>
        <w:t>Mockup</w:t>
      </w:r>
      <w:proofErr w:type="spellEnd"/>
      <w:r>
        <w:rPr>
          <w:rStyle w:val="apple-converted-space"/>
          <w:rFonts w:ascii="Verdana" w:hAnsi="Verdana"/>
          <w:color w:val="000000"/>
          <w:sz w:val="20"/>
          <w:szCs w:val="20"/>
        </w:rPr>
        <w:t> </w:t>
      </w:r>
      <w:r>
        <w:rPr>
          <w:rStyle w:val="Betont"/>
          <w:rFonts w:ascii="Verdana" w:hAnsi="Verdana"/>
          <w:color w:val="444444"/>
          <w:sz w:val="20"/>
          <w:szCs w:val="20"/>
        </w:rPr>
        <w:t>10'</w:t>
      </w:r>
    </w:p>
    <w:tbl>
      <w:tblPr>
        <w:tblW w:w="0" w:type="auto"/>
        <w:tblInd w:w="-15" w:type="dxa"/>
        <w:tblCellMar>
          <w:left w:w="10" w:type="dxa"/>
          <w:right w:w="10" w:type="dxa"/>
        </w:tblCellMar>
        <w:tblLook w:val="0000" w:firstRow="0" w:lastRow="0" w:firstColumn="0" w:lastColumn="0" w:noHBand="0" w:noVBand="0"/>
      </w:tblPr>
      <w:tblGrid>
        <w:gridCol w:w="1186"/>
        <w:gridCol w:w="1706"/>
      </w:tblGrid>
      <w:tr w:rsidR="003D3487">
        <w:tblPrEx>
          <w:tblCellMar>
            <w:top w:w="0" w:type="dxa"/>
            <w:bottom w:w="0" w:type="dxa"/>
          </w:tblCellMar>
        </w:tblPrEx>
        <w:tc>
          <w:tcPr>
            <w:tcW w:w="1186" w:type="dxa"/>
            <w:shd w:val="clear" w:color="auto" w:fill="auto"/>
            <w:tcMar>
              <w:top w:w="15" w:type="dxa"/>
              <w:left w:w="15" w:type="dxa"/>
              <w:bottom w:w="15" w:type="dxa"/>
              <w:right w:w="15" w:type="dxa"/>
            </w:tcMar>
          </w:tcPr>
          <w:p w:rsidR="003D3487" w:rsidRDefault="00693E5D">
            <w:r>
              <w:rPr>
                <w:rFonts w:ascii="Verdana" w:hAnsi="Verdana"/>
                <w:color w:val="444444"/>
                <w:sz w:val="20"/>
                <w:szCs w:val="20"/>
              </w:rPr>
              <w:t>Sprecher:</w:t>
            </w:r>
          </w:p>
        </w:tc>
        <w:tc>
          <w:tcPr>
            <w:tcW w:w="1706" w:type="dxa"/>
            <w:shd w:val="clear" w:color="auto" w:fill="auto"/>
            <w:tcMar>
              <w:top w:w="15" w:type="dxa"/>
              <w:left w:w="15" w:type="dxa"/>
              <w:bottom w:w="15" w:type="dxa"/>
              <w:right w:w="15" w:type="dxa"/>
            </w:tcMar>
          </w:tcPr>
          <w:p w:rsidR="003D3487" w:rsidRDefault="00693E5D">
            <w:r>
              <w:rPr>
                <w:rFonts w:ascii="Verdana" w:hAnsi="Verdana"/>
                <w:color w:val="444444"/>
                <w:sz w:val="20"/>
                <w:szCs w:val="20"/>
              </w:rPr>
              <w:t>Carsten</w:t>
            </w:r>
            <w:r>
              <w:rPr>
                <w:rStyle w:val="apple-converted-space"/>
                <w:rFonts w:ascii="Verdana" w:hAnsi="Verdana"/>
                <w:color w:val="444444"/>
                <w:sz w:val="20"/>
                <w:szCs w:val="20"/>
              </w:rPr>
              <w:t> </w:t>
            </w:r>
            <w:r>
              <w:rPr>
                <w:rFonts w:ascii="Verdana" w:hAnsi="Verdana"/>
                <w:color w:val="444444"/>
                <w:sz w:val="20"/>
                <w:szCs w:val="20"/>
              </w:rPr>
              <w:t>Niebuhr</w:t>
            </w:r>
          </w:p>
        </w:tc>
      </w:tr>
      <w:tr w:rsidR="003D3487">
        <w:tblPrEx>
          <w:tblCellMar>
            <w:top w:w="0" w:type="dxa"/>
            <w:bottom w:w="0" w:type="dxa"/>
          </w:tblCellMar>
        </w:tblPrEx>
        <w:tc>
          <w:tcPr>
            <w:tcW w:w="1186" w:type="dxa"/>
            <w:shd w:val="clear" w:color="auto" w:fill="auto"/>
            <w:tcMar>
              <w:top w:w="15" w:type="dxa"/>
              <w:left w:w="15" w:type="dxa"/>
              <w:bottom w:w="15" w:type="dxa"/>
              <w:right w:w="15" w:type="dxa"/>
            </w:tcMar>
          </w:tcPr>
          <w:p w:rsidR="003D3487" w:rsidRDefault="00693E5D">
            <w:r>
              <w:rPr>
                <w:rFonts w:ascii="Verdana" w:hAnsi="Verdana"/>
                <w:color w:val="444444"/>
                <w:sz w:val="20"/>
                <w:szCs w:val="20"/>
              </w:rPr>
              <w:t>Material:</w:t>
            </w:r>
          </w:p>
        </w:tc>
        <w:tc>
          <w:tcPr>
            <w:tcW w:w="1706" w:type="dxa"/>
            <w:shd w:val="clear" w:color="auto" w:fill="auto"/>
            <w:tcMar>
              <w:top w:w="15" w:type="dxa"/>
              <w:left w:w="15" w:type="dxa"/>
              <w:bottom w:w="15" w:type="dxa"/>
              <w:right w:w="15" w:type="dxa"/>
            </w:tcMar>
          </w:tcPr>
          <w:p w:rsidR="003D3487" w:rsidRDefault="00693E5D">
            <w:hyperlink r:id="rId9">
              <w:proofErr w:type="spellStart"/>
              <w:r>
                <w:rPr>
                  <w:rStyle w:val="Internetlink"/>
                  <w:rFonts w:ascii="Verdana" w:hAnsi="Verdana"/>
                  <w:b/>
                  <w:bCs/>
                  <w:color w:val="333333"/>
                  <w:sz w:val="18"/>
                  <w:szCs w:val="18"/>
                  <w:shd w:val="clear" w:color="auto" w:fill="DDDDDD"/>
                </w:rPr>
                <w:t>Slides</w:t>
              </w:r>
              <w:proofErr w:type="spellEnd"/>
              <w:r>
                <w:rPr>
                  <w:noProof/>
                  <w:lang w:eastAsia="de-DE"/>
                </w:rPr>
                <w:drawing>
                  <wp:inline distT="0" distB="0" distL="0" distR="0">
                    <wp:extent cx="152400" cy="152400"/>
                    <wp:effectExtent l="0" t="0" r="0" b="0"/>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p>
        </w:tc>
      </w:tr>
    </w:tbl>
    <w:p w:rsidR="003D3487" w:rsidRDefault="00693E5D">
      <w:pPr>
        <w:numPr>
          <w:ilvl w:val="1"/>
          <w:numId w:val="1"/>
        </w:numPr>
        <w:spacing w:after="0" w:line="100" w:lineRule="atLeast"/>
      </w:pPr>
      <w:r>
        <w:rPr>
          <w:rStyle w:val="topleveltime"/>
          <w:rFonts w:ascii="Arial" w:hAnsi="Arial" w:cs="Arial"/>
          <w:color w:val="444444"/>
          <w:sz w:val="21"/>
          <w:szCs w:val="21"/>
        </w:rPr>
        <w:t xml:space="preserve">10:30 - 10:50 </w:t>
      </w:r>
      <w:r>
        <w:rPr>
          <w:rStyle w:val="topleveltitle"/>
          <w:rFonts w:ascii="Verdana" w:hAnsi="Verdana"/>
          <w:color w:val="333333"/>
        </w:rPr>
        <w:t>PXD Meeting Pisa</w:t>
      </w:r>
      <w:r>
        <w:rPr>
          <w:rStyle w:val="apple-converted-space"/>
          <w:rFonts w:ascii="Verdana" w:hAnsi="Verdana"/>
          <w:color w:val="000000"/>
          <w:sz w:val="20"/>
          <w:szCs w:val="20"/>
        </w:rPr>
        <w:t> </w:t>
      </w:r>
      <w:r>
        <w:rPr>
          <w:rStyle w:val="Betont"/>
          <w:rFonts w:ascii="Verdana" w:hAnsi="Verdana"/>
          <w:color w:val="444444"/>
          <w:sz w:val="20"/>
          <w:szCs w:val="20"/>
        </w:rPr>
        <w:t>20'</w:t>
      </w:r>
    </w:p>
    <w:tbl>
      <w:tblPr>
        <w:tblW w:w="0" w:type="auto"/>
        <w:tblInd w:w="-15" w:type="dxa"/>
        <w:tblCellMar>
          <w:left w:w="10" w:type="dxa"/>
          <w:right w:w="10" w:type="dxa"/>
        </w:tblCellMar>
        <w:tblLook w:val="0000" w:firstRow="0" w:lastRow="0" w:firstColumn="0" w:lastColumn="0" w:noHBand="0" w:noVBand="0"/>
      </w:tblPr>
      <w:tblGrid>
        <w:gridCol w:w="1087"/>
        <w:gridCol w:w="1085"/>
      </w:tblGrid>
      <w:tr w:rsidR="003D3487">
        <w:tblPrEx>
          <w:tblCellMar>
            <w:top w:w="0" w:type="dxa"/>
            <w:bottom w:w="0" w:type="dxa"/>
          </w:tblCellMar>
        </w:tblPrEx>
        <w:tc>
          <w:tcPr>
            <w:tcW w:w="1087" w:type="dxa"/>
            <w:shd w:val="clear" w:color="auto" w:fill="auto"/>
            <w:tcMar>
              <w:top w:w="15" w:type="dxa"/>
              <w:left w:w="15" w:type="dxa"/>
              <w:bottom w:w="15" w:type="dxa"/>
              <w:right w:w="15" w:type="dxa"/>
            </w:tcMar>
          </w:tcPr>
          <w:p w:rsidR="003D3487" w:rsidRDefault="00693E5D">
            <w:r>
              <w:rPr>
                <w:rFonts w:ascii="Verdana" w:hAnsi="Verdana"/>
                <w:color w:val="444444"/>
                <w:sz w:val="20"/>
                <w:szCs w:val="20"/>
              </w:rPr>
              <w:t>Material:</w:t>
            </w:r>
          </w:p>
        </w:tc>
        <w:tc>
          <w:tcPr>
            <w:tcW w:w="1085" w:type="dxa"/>
            <w:shd w:val="clear" w:color="auto" w:fill="auto"/>
            <w:tcMar>
              <w:top w:w="15" w:type="dxa"/>
              <w:left w:w="15" w:type="dxa"/>
              <w:bottom w:w="15" w:type="dxa"/>
              <w:right w:w="15" w:type="dxa"/>
            </w:tcMar>
          </w:tcPr>
          <w:p w:rsidR="003D3487" w:rsidRDefault="00693E5D">
            <w:hyperlink r:id="rId10">
              <w:proofErr w:type="spellStart"/>
              <w:r>
                <w:rPr>
                  <w:rStyle w:val="Internetlink"/>
                  <w:rFonts w:ascii="Verdana" w:hAnsi="Verdana"/>
                  <w:b/>
                  <w:bCs/>
                  <w:color w:val="333333"/>
                  <w:sz w:val="18"/>
                  <w:szCs w:val="18"/>
                  <w:shd w:val="clear" w:color="auto" w:fill="DDDDDD"/>
                </w:rPr>
                <w:t>agenda</w:t>
              </w:r>
              <w:proofErr w:type="spellEnd"/>
              <w:r>
                <w:rPr>
                  <w:noProof/>
                  <w:lang w:eastAsia="de-DE"/>
                </w:rPr>
                <w:drawing>
                  <wp:inline distT="0" distB="0" distL="0" distR="0">
                    <wp:extent cx="142875" cy="142875"/>
                    <wp:effectExtent l="0" t="0" r="0" b="0"/>
                    <wp:docPr id="4"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1"/>
                            <a:srcRect/>
                            <a:stretch>
                              <a:fillRect/>
                            </a:stretch>
                          </pic:blipFill>
                          <pic:spPr bwMode="auto">
                            <a:xfrm>
                              <a:off x="0" y="0"/>
                              <a:ext cx="142875" cy="142875"/>
                            </a:xfrm>
                            <a:prstGeom prst="rect">
                              <a:avLst/>
                            </a:prstGeom>
                            <a:noFill/>
                            <a:ln w="9525">
                              <a:noFill/>
                              <a:miter lim="800000"/>
                              <a:headEnd/>
                              <a:tailEnd/>
                            </a:ln>
                          </pic:spPr>
                        </pic:pic>
                      </a:graphicData>
                    </a:graphic>
                  </wp:inline>
                </w:drawing>
              </w:r>
            </w:hyperlink>
          </w:p>
        </w:tc>
      </w:tr>
    </w:tbl>
    <w:p w:rsidR="003D3487" w:rsidRDefault="00693E5D">
      <w:pPr>
        <w:numPr>
          <w:ilvl w:val="1"/>
          <w:numId w:val="1"/>
        </w:numPr>
        <w:spacing w:after="0" w:line="100" w:lineRule="atLeast"/>
      </w:pPr>
      <w:r>
        <w:rPr>
          <w:rStyle w:val="topleveltime"/>
          <w:rFonts w:ascii="Arial" w:hAnsi="Arial" w:cs="Arial"/>
          <w:color w:val="444444"/>
          <w:sz w:val="21"/>
          <w:szCs w:val="21"/>
        </w:rPr>
        <w:t xml:space="preserve">10:50 - 11:10 </w:t>
      </w:r>
      <w:r>
        <w:rPr>
          <w:rStyle w:val="topleveltitle"/>
          <w:rFonts w:ascii="Verdana" w:hAnsi="Verdana"/>
          <w:color w:val="333333"/>
        </w:rPr>
        <w:t>AOB</w:t>
      </w:r>
      <w:r>
        <w:rPr>
          <w:rStyle w:val="apple-converted-space"/>
          <w:rFonts w:ascii="Verdana" w:hAnsi="Verdana"/>
          <w:color w:val="000000"/>
          <w:sz w:val="20"/>
          <w:szCs w:val="20"/>
        </w:rPr>
        <w:t> </w:t>
      </w:r>
      <w:r>
        <w:rPr>
          <w:rStyle w:val="Betont"/>
          <w:rFonts w:ascii="Verdana" w:hAnsi="Verdana"/>
          <w:color w:val="444444"/>
          <w:sz w:val="20"/>
          <w:szCs w:val="20"/>
        </w:rPr>
        <w:t>20'</w:t>
      </w:r>
    </w:p>
    <w:tbl>
      <w:tblPr>
        <w:tblW w:w="0" w:type="auto"/>
        <w:tblInd w:w="-15" w:type="dxa"/>
        <w:tblCellMar>
          <w:left w:w="10" w:type="dxa"/>
          <w:right w:w="10" w:type="dxa"/>
        </w:tblCellMar>
        <w:tblLook w:val="0000" w:firstRow="0" w:lastRow="0" w:firstColumn="0" w:lastColumn="0" w:noHBand="0" w:noVBand="0"/>
      </w:tblPr>
      <w:tblGrid>
        <w:gridCol w:w="96"/>
      </w:tblGrid>
      <w:tr w:rsidR="003D3487">
        <w:tblPrEx>
          <w:tblCellMar>
            <w:top w:w="0" w:type="dxa"/>
            <w:bottom w:w="0" w:type="dxa"/>
          </w:tblCellMar>
        </w:tblPrEx>
        <w:tc>
          <w:tcPr>
            <w:tcW w:w="96" w:type="dxa"/>
            <w:shd w:val="clear" w:color="auto" w:fill="auto"/>
            <w:tcMar>
              <w:top w:w="15" w:type="dxa"/>
              <w:left w:w="15" w:type="dxa"/>
              <w:bottom w:w="15" w:type="dxa"/>
              <w:right w:w="15" w:type="dxa"/>
            </w:tcMar>
            <w:vAlign w:val="center"/>
          </w:tcPr>
          <w:p w:rsidR="003D3487" w:rsidRDefault="003D3487"/>
        </w:tc>
      </w:tr>
    </w:tbl>
    <w:p w:rsidR="003D3487" w:rsidRDefault="003D3487">
      <w:pPr>
        <w:spacing w:before="28" w:after="28" w:line="100" w:lineRule="atLeast"/>
      </w:pPr>
    </w:p>
    <w:p w:rsidR="003D3487" w:rsidRDefault="00693E5D">
      <w:r>
        <w:rPr>
          <w:b/>
          <w:lang w:val="en-GB"/>
        </w:rPr>
        <w:t xml:space="preserve">Status </w:t>
      </w:r>
      <w:proofErr w:type="spellStart"/>
      <w:proofErr w:type="gramStart"/>
      <w:r>
        <w:rPr>
          <w:b/>
          <w:lang w:val="en-GB"/>
        </w:rPr>
        <w:t>IBBelle</w:t>
      </w:r>
      <w:proofErr w:type="spellEnd"/>
      <w:r>
        <w:rPr>
          <w:b/>
          <w:lang w:val="en-GB"/>
        </w:rPr>
        <w:t xml:space="preserve">  (</w:t>
      </w:r>
      <w:proofErr w:type="gramEnd"/>
      <w:r>
        <w:rPr>
          <w:b/>
          <w:lang w:val="en-GB"/>
        </w:rPr>
        <w:t xml:space="preserve">C. </w:t>
      </w:r>
      <w:r>
        <w:rPr>
          <w:b/>
          <w:lang w:val="en-GB"/>
        </w:rPr>
        <w:t>Kiesling)</w:t>
      </w:r>
    </w:p>
    <w:p w:rsidR="003D3487" w:rsidRPr="00693E5D" w:rsidRDefault="00693E5D">
      <w:pPr>
        <w:rPr>
          <w:lang w:val="en-GB"/>
        </w:rPr>
      </w:pPr>
      <w:proofErr w:type="spellStart"/>
      <w:r>
        <w:rPr>
          <w:lang w:val="en-GB"/>
        </w:rPr>
        <w:t>IBBelle</w:t>
      </w:r>
      <w:proofErr w:type="spellEnd"/>
      <w:r>
        <w:rPr>
          <w:lang w:val="en-GB"/>
        </w:rPr>
        <w:t xml:space="preserve"> (for ATLAS IBL) is presently being commissioned at CERN. So far it works </w:t>
      </w:r>
      <w:proofErr w:type="gramStart"/>
      <w:r>
        <w:rPr>
          <w:lang w:val="en-GB"/>
        </w:rPr>
        <w:t>well,</w:t>
      </w:r>
      <w:proofErr w:type="gramEnd"/>
      <w:r>
        <w:rPr>
          <w:lang w:val="en-GB"/>
        </w:rPr>
        <w:t xml:space="preserve"> though it is not able </w:t>
      </w:r>
      <w:proofErr w:type="spellStart"/>
      <w:r>
        <w:rPr>
          <w:lang w:val="en-GB"/>
        </w:rPr>
        <w:t>do</w:t>
      </w:r>
      <w:proofErr w:type="spellEnd"/>
      <w:r>
        <w:rPr>
          <w:lang w:val="en-GB"/>
        </w:rPr>
        <w:t xml:space="preserve"> go down to -40deg. However, this is not relevant for us, our temperature range (-30deg minimum) can easily be reached.</w:t>
      </w:r>
    </w:p>
    <w:p w:rsidR="003D3487" w:rsidRPr="00693E5D" w:rsidRDefault="00693E5D">
      <w:pPr>
        <w:rPr>
          <w:lang w:val="en-GB"/>
        </w:rPr>
      </w:pPr>
      <w:r>
        <w:rPr>
          <w:lang w:val="en-GB"/>
        </w:rPr>
        <w:t>In order to sta</w:t>
      </w:r>
      <w:r>
        <w:rPr>
          <w:lang w:val="en-GB"/>
        </w:rPr>
        <w:t xml:space="preserve">rt procurement of components and production we need a good documentation of the plant. Documentation of the mechanical exists but needs to be revised and updated. Sven Vogt at MPP is working on that. </w:t>
      </w:r>
    </w:p>
    <w:p w:rsidR="003D3487" w:rsidRPr="00693E5D" w:rsidRDefault="00693E5D">
      <w:pPr>
        <w:rPr>
          <w:lang w:val="en-GB"/>
        </w:rPr>
      </w:pPr>
      <w:r>
        <w:rPr>
          <w:lang w:val="en-GB"/>
        </w:rPr>
        <w:t>The documentation of the electrical installation is not</w:t>
      </w:r>
      <w:r>
        <w:rPr>
          <w:lang w:val="en-GB"/>
        </w:rPr>
        <w:t xml:space="preserve"> well documented. Reinhard Sedlmeyer (MPP) was (and still needs to go) to CERN to produce the necessary documentation.</w:t>
      </w:r>
    </w:p>
    <w:p w:rsidR="003D3487" w:rsidRPr="00693E5D" w:rsidRDefault="00693E5D">
      <w:pPr>
        <w:rPr>
          <w:lang w:val="en-GB"/>
        </w:rPr>
      </w:pPr>
      <w:r>
        <w:rPr>
          <w:lang w:val="en-GB"/>
        </w:rPr>
        <w:t>Hence the procurement (asking for quotes and ordering) started slow. For some parts (Swagelok, 24V PS) the process has started but for mo</w:t>
      </w:r>
      <w:r>
        <w:rPr>
          <w:lang w:val="en-GB"/>
        </w:rPr>
        <w:t xml:space="preserve">st items the ordering will take till the end of the year. </w:t>
      </w:r>
    </w:p>
    <w:p w:rsidR="003D3487" w:rsidRPr="00693E5D" w:rsidRDefault="00693E5D">
      <w:pPr>
        <w:rPr>
          <w:lang w:val="en-GB"/>
        </w:rPr>
      </w:pPr>
      <w:r>
        <w:rPr>
          <w:lang w:val="en-GB"/>
        </w:rPr>
        <w:t>(</w:t>
      </w:r>
      <w:proofErr w:type="gramStart"/>
      <w:r>
        <w:rPr>
          <w:lang w:val="en-GB"/>
        </w:rPr>
        <w:t>remark</w:t>
      </w:r>
      <w:proofErr w:type="gramEnd"/>
      <w:r>
        <w:rPr>
          <w:lang w:val="en-GB"/>
        </w:rPr>
        <w:t xml:space="preserve"> be Hans-Günther: the MPP money for </w:t>
      </w:r>
      <w:proofErr w:type="spellStart"/>
      <w:r>
        <w:rPr>
          <w:lang w:val="en-GB"/>
        </w:rPr>
        <w:t>IBBelle</w:t>
      </w:r>
      <w:proofErr w:type="spellEnd"/>
      <w:r>
        <w:rPr>
          <w:lang w:val="en-GB"/>
        </w:rPr>
        <w:t xml:space="preserve"> has to be spent in 2014, it cannot be transferred to 2015).</w:t>
      </w:r>
    </w:p>
    <w:p w:rsidR="003D3487" w:rsidRPr="00693E5D" w:rsidRDefault="00693E5D">
      <w:pPr>
        <w:rPr>
          <w:lang w:val="en-GB"/>
        </w:rPr>
      </w:pPr>
      <w:r>
        <w:rPr>
          <w:lang w:val="en-GB"/>
        </w:rPr>
        <w:t xml:space="preserve">We got a proposal by Adachi-san for the location of </w:t>
      </w:r>
      <w:proofErr w:type="spellStart"/>
      <w:r>
        <w:rPr>
          <w:lang w:val="en-GB"/>
        </w:rPr>
        <w:t>IBBelle</w:t>
      </w:r>
      <w:proofErr w:type="spellEnd"/>
      <w:r>
        <w:rPr>
          <w:lang w:val="en-GB"/>
        </w:rPr>
        <w:t xml:space="preserve"> on top of the electronics </w:t>
      </w:r>
      <w:r>
        <w:rPr>
          <w:lang w:val="en-GB"/>
        </w:rPr>
        <w:t>hut which seems to be adequate as far as space is concerned. A problem is the access to the top of Belle which has to pass through the narrow corridor of the platform. This will often be obstructed and one should look for an independent access.</w:t>
      </w:r>
    </w:p>
    <w:p w:rsidR="003D3487" w:rsidRPr="00693E5D" w:rsidRDefault="00693E5D">
      <w:pPr>
        <w:rPr>
          <w:lang w:val="en-GB"/>
        </w:rPr>
      </w:pPr>
      <w:r>
        <w:rPr>
          <w:lang w:val="en-GB"/>
        </w:rPr>
        <w:lastRenderedPageBreak/>
        <w:t>Alternative</w:t>
      </w:r>
      <w:r>
        <w:rPr>
          <w:lang w:val="en-GB"/>
        </w:rPr>
        <w:t xml:space="preserve">ly we study the possibility to assemble </w:t>
      </w:r>
      <w:proofErr w:type="spellStart"/>
      <w:r>
        <w:rPr>
          <w:lang w:val="en-GB"/>
        </w:rPr>
        <w:t>IBBelle</w:t>
      </w:r>
      <w:proofErr w:type="spellEnd"/>
      <w:r>
        <w:rPr>
          <w:lang w:val="en-GB"/>
        </w:rPr>
        <w:t xml:space="preserve"> in a 40’ container. It can then, after commissioning at MPP, be shipped completely to KEK and placed outside Tsukuba-Hall. The advantage is that no dis- and reassembly before and after shipping is needed and </w:t>
      </w:r>
      <w:r>
        <w:rPr>
          <w:lang w:val="en-GB"/>
        </w:rPr>
        <w:t>the commissioning at KEK will be much faster. Disadvantage is the need of longer transfer lines and the need of services (water</w:t>
      </w:r>
      <w:proofErr w:type="gramStart"/>
      <w:r>
        <w:rPr>
          <w:lang w:val="en-GB"/>
        </w:rPr>
        <w:t>,  430V</w:t>
      </w:r>
      <w:proofErr w:type="gramEnd"/>
      <w:r>
        <w:rPr>
          <w:lang w:val="en-GB"/>
        </w:rPr>
        <w:t xml:space="preserve"> 3-phase) outside Tsukuba hall. In addition the container needs to be air-conditioned and humidity controlled. </w:t>
      </w:r>
    </w:p>
    <w:p w:rsidR="003D3487" w:rsidRPr="00693E5D" w:rsidRDefault="00693E5D">
      <w:pPr>
        <w:rPr>
          <w:lang w:val="en-GB"/>
        </w:rPr>
      </w:pPr>
      <w:r>
        <w:rPr>
          <w:b/>
          <w:lang w:val="en-GB"/>
        </w:rPr>
        <w:t>Power Supp</w:t>
      </w:r>
      <w:r>
        <w:rPr>
          <w:b/>
          <w:lang w:val="en-GB"/>
        </w:rPr>
        <w:t>lies and Services (S. Rummel)</w:t>
      </w:r>
    </w:p>
    <w:p w:rsidR="003D3487" w:rsidRPr="00693E5D" w:rsidRDefault="00693E5D">
      <w:pPr>
        <w:rPr>
          <w:lang w:val="en-GB"/>
        </w:rPr>
      </w:pPr>
      <w:r>
        <w:rPr>
          <w:lang w:val="en-GB"/>
        </w:rPr>
        <w:t xml:space="preserve">8 units of the preproduction PS are ready and calibrated. Each has 24 channels. Adapters to operate the EMCMs are available. One set of special power cables is available. More have been made but have quality problems and need </w:t>
      </w:r>
      <w:r>
        <w:rPr>
          <w:lang w:val="en-GB"/>
        </w:rPr>
        <w:t xml:space="preserve">to </w:t>
      </w:r>
      <w:proofErr w:type="gramStart"/>
      <w:r>
        <w:rPr>
          <w:lang w:val="en-GB"/>
        </w:rPr>
        <w:t>reworked</w:t>
      </w:r>
      <w:proofErr w:type="gramEnd"/>
      <w:r>
        <w:rPr>
          <w:lang w:val="en-GB"/>
        </w:rPr>
        <w:t xml:space="preserve"> (~ weeks). </w:t>
      </w:r>
    </w:p>
    <w:p w:rsidR="003D3487" w:rsidRPr="00693E5D" w:rsidRDefault="00693E5D">
      <w:pPr>
        <w:rPr>
          <w:lang w:val="en-GB"/>
        </w:rPr>
      </w:pPr>
      <w:r>
        <w:rPr>
          <w:lang w:val="en-GB"/>
        </w:rPr>
        <w:t>(remark by Christian Koffmane): two sets are needed at the HLL, one for the EMCM and one for a needle card setup).</w:t>
      </w:r>
    </w:p>
    <w:p w:rsidR="003D3487" w:rsidRPr="00693E5D" w:rsidRDefault="00693E5D">
      <w:pPr>
        <w:rPr>
          <w:lang w:val="en-GB"/>
        </w:rPr>
      </w:pPr>
      <w:r>
        <w:rPr>
          <w:lang w:val="en-GB"/>
        </w:rPr>
        <w:t xml:space="preserve">The final production should start soon. The plan is to produce 68 units (50 for PXD, 18 for PS).  Additional changes </w:t>
      </w:r>
      <w:r>
        <w:rPr>
          <w:lang w:val="en-GB"/>
        </w:rPr>
        <w:t xml:space="preserve">which will be implemented are the extension of the HV range to 200V and the use of higher quality components. Production needs to be finished by the end of the BMBF funding period. </w:t>
      </w:r>
    </w:p>
    <w:p w:rsidR="003D3487" w:rsidRPr="00693E5D" w:rsidRDefault="00693E5D">
      <w:pPr>
        <w:rPr>
          <w:lang w:val="en-GB"/>
        </w:rPr>
      </w:pPr>
      <w:r>
        <w:rPr>
          <w:lang w:val="en-GB"/>
        </w:rPr>
        <w:t xml:space="preserve">The design of the </w:t>
      </w:r>
      <w:proofErr w:type="spellStart"/>
      <w:r>
        <w:rPr>
          <w:lang w:val="en-GB"/>
        </w:rPr>
        <w:t>Kapton</w:t>
      </w:r>
      <w:proofErr w:type="spellEnd"/>
      <w:r>
        <w:rPr>
          <w:lang w:val="en-GB"/>
        </w:rPr>
        <w:t xml:space="preserve"> flex is revised in order to provide larger pads f</w:t>
      </w:r>
      <w:r>
        <w:rPr>
          <w:lang w:val="en-GB"/>
        </w:rPr>
        <w:t>or multiple wire bonds. This should avoid excess currents across single bond wires. Furthermore some layout changes are needed to improve the data links. Stefan will organize to meeting to discuss these changes (work has already started). Production should</w:t>
      </w:r>
      <w:r>
        <w:rPr>
          <w:lang w:val="en-GB"/>
        </w:rPr>
        <w:t xml:space="preserve"> start in October.</w:t>
      </w:r>
    </w:p>
    <w:p w:rsidR="003D3487" w:rsidRPr="00693E5D" w:rsidRDefault="00693E5D">
      <w:pPr>
        <w:rPr>
          <w:lang w:val="en-GB"/>
        </w:rPr>
      </w:pPr>
      <w:r>
        <w:rPr>
          <w:lang w:val="en-GB"/>
        </w:rPr>
        <w:t xml:space="preserve">Prototypes of docks and patch panels are ready. They need to be re-designed as well, taking into account the recent change of one </w:t>
      </w:r>
      <w:proofErr w:type="spellStart"/>
      <w:r>
        <w:rPr>
          <w:lang w:val="en-GB"/>
        </w:rPr>
        <w:t>infiniband</w:t>
      </w:r>
      <w:proofErr w:type="spellEnd"/>
      <w:r>
        <w:rPr>
          <w:lang w:val="en-GB"/>
        </w:rPr>
        <w:t xml:space="preserve"> cable to a CAT6 cable and further improvements. Concerning the docks the possibility to implemen</w:t>
      </w:r>
      <w:r>
        <w:rPr>
          <w:lang w:val="en-GB"/>
        </w:rPr>
        <w:t xml:space="preserve">t </w:t>
      </w:r>
      <w:proofErr w:type="spellStart"/>
      <w:r>
        <w:rPr>
          <w:lang w:val="en-GB"/>
        </w:rPr>
        <w:t>optoconverters</w:t>
      </w:r>
      <w:proofErr w:type="spellEnd"/>
      <w:r>
        <w:rPr>
          <w:lang w:val="en-GB"/>
        </w:rPr>
        <w:t xml:space="preserve"> (if sufficiently rad hard) is discussed.</w:t>
      </w:r>
    </w:p>
    <w:p w:rsidR="003D3487" w:rsidRPr="00693E5D" w:rsidRDefault="00693E5D">
      <w:pPr>
        <w:rPr>
          <w:lang w:val="en-GB"/>
        </w:rPr>
      </w:pPr>
      <w:r>
        <w:rPr>
          <w:b/>
          <w:lang w:val="en-GB"/>
        </w:rPr>
        <w:t xml:space="preserve">Thermal </w:t>
      </w:r>
      <w:proofErr w:type="spellStart"/>
      <w:r>
        <w:rPr>
          <w:b/>
          <w:lang w:val="en-GB"/>
        </w:rPr>
        <w:t>Mockup</w:t>
      </w:r>
      <w:proofErr w:type="spellEnd"/>
      <w:r>
        <w:rPr>
          <w:b/>
          <w:lang w:val="en-GB"/>
        </w:rPr>
        <w:t xml:space="preserve"> (C. Niebuhr)</w:t>
      </w:r>
    </w:p>
    <w:p w:rsidR="003D3487" w:rsidRPr="00693E5D" w:rsidRDefault="00693E5D">
      <w:pPr>
        <w:rPr>
          <w:lang w:val="en-GB"/>
        </w:rPr>
      </w:pPr>
      <w:r>
        <w:rPr>
          <w:lang w:val="en-GB"/>
        </w:rPr>
        <w:t xml:space="preserve">The PXD ladders for the thermal </w:t>
      </w:r>
      <w:proofErr w:type="spellStart"/>
      <w:r>
        <w:rPr>
          <w:lang w:val="en-GB"/>
        </w:rPr>
        <w:t>mockup</w:t>
      </w:r>
      <w:proofErr w:type="spellEnd"/>
      <w:r>
        <w:rPr>
          <w:lang w:val="en-GB"/>
        </w:rPr>
        <w:t xml:space="preserve"> are ready. DESY has already one and will receive the others as soon as a driver can be sent to Hamburg. The cooling blocks are stil</w:t>
      </w:r>
      <w:r>
        <w:rPr>
          <w:lang w:val="en-GB"/>
        </w:rPr>
        <w:t xml:space="preserve">l not ready. We were notified by the company producing them that they have some (minor) difficulties delaying the delivery which was due last week.  Since the handling of the thermal ladders (thinned silicon) is quite delicate we will produce </w:t>
      </w:r>
      <w:proofErr w:type="spellStart"/>
      <w:r>
        <w:rPr>
          <w:lang w:val="en-GB"/>
        </w:rPr>
        <w:t>alu</w:t>
      </w:r>
      <w:proofErr w:type="spellEnd"/>
      <w:r>
        <w:rPr>
          <w:lang w:val="en-GB"/>
        </w:rPr>
        <w:t xml:space="preserve"> dummies (</w:t>
      </w:r>
      <w:r>
        <w:rPr>
          <w:lang w:val="en-GB"/>
        </w:rPr>
        <w:t>dummy dummies) allowing to exercise the assembly.</w:t>
      </w:r>
    </w:p>
    <w:p w:rsidR="003D3487" w:rsidRPr="00693E5D" w:rsidRDefault="00693E5D">
      <w:pPr>
        <w:rPr>
          <w:lang w:val="en-GB"/>
        </w:rPr>
      </w:pPr>
      <w:r>
        <w:rPr>
          <w:lang w:val="en-GB"/>
        </w:rPr>
        <w:t xml:space="preserve">The SVD part is progressing. Support cones and outer cylinders arrived from KEK. The diffusion welded </w:t>
      </w:r>
      <w:proofErr w:type="spellStart"/>
      <w:r>
        <w:rPr>
          <w:lang w:val="en-GB"/>
        </w:rPr>
        <w:t>endrings</w:t>
      </w:r>
      <w:proofErr w:type="spellEnd"/>
      <w:r>
        <w:rPr>
          <w:lang w:val="en-GB"/>
        </w:rPr>
        <w:t xml:space="preserve"> arrived 2 weeks ago and will be machined at DESY. Work is ongoing to build the SVD thermal modu</w:t>
      </w:r>
      <w:r>
        <w:rPr>
          <w:lang w:val="en-GB"/>
        </w:rPr>
        <w:t>les.</w:t>
      </w:r>
    </w:p>
    <w:p w:rsidR="003D3487" w:rsidRPr="00693E5D" w:rsidRDefault="00693E5D">
      <w:pPr>
        <w:rPr>
          <w:lang w:val="en-GB"/>
        </w:rPr>
      </w:pPr>
      <w:r>
        <w:rPr>
          <w:lang w:val="en-GB"/>
        </w:rPr>
        <w:t>MARCO is operational and used by a student. No further degradation of the Gather pumps has been observed and it was decided not to replace them by the (expensive) LEWA pumps. Spare pumps exist in case they fail again.</w:t>
      </w:r>
    </w:p>
    <w:p w:rsidR="003D3487" w:rsidRPr="00693E5D" w:rsidRDefault="00693E5D">
      <w:pPr>
        <w:rPr>
          <w:lang w:val="en-GB"/>
        </w:rPr>
      </w:pPr>
      <w:r>
        <w:rPr>
          <w:b/>
          <w:lang w:val="en-GB"/>
        </w:rPr>
        <w:t xml:space="preserve"> Agenda of SVD/PXD meeting at PIS</w:t>
      </w:r>
      <w:r>
        <w:rPr>
          <w:b/>
          <w:lang w:val="en-GB"/>
        </w:rPr>
        <w:t>A</w:t>
      </w:r>
    </w:p>
    <w:p w:rsidR="003D3487" w:rsidRDefault="00693E5D">
      <w:r>
        <w:rPr>
          <w:lang w:val="en-GB"/>
        </w:rPr>
        <w:lastRenderedPageBreak/>
        <w:t>The meeting (October 1-3) has two days of plenary meetings (Wednesday, Friday) and Thursday for parallel meetings. In the parallel meeting we need sessions on:</w:t>
      </w:r>
    </w:p>
    <w:p w:rsidR="003D3487" w:rsidRPr="00693E5D" w:rsidRDefault="00693E5D">
      <w:pPr>
        <w:pStyle w:val="Listenabsatz"/>
        <w:numPr>
          <w:ilvl w:val="0"/>
          <w:numId w:val="3"/>
        </w:numPr>
        <w:rPr>
          <w:lang w:val="en-GB"/>
        </w:rPr>
      </w:pPr>
      <w:r>
        <w:rPr>
          <w:lang w:val="en-GB"/>
        </w:rPr>
        <w:t xml:space="preserve">ASICs (including switcher bonding and SMD mounting) (Ivan </w:t>
      </w:r>
      <w:proofErr w:type="spellStart"/>
      <w:r>
        <w:rPr>
          <w:lang w:val="en-GB"/>
        </w:rPr>
        <w:t>Peric</w:t>
      </w:r>
      <w:proofErr w:type="spellEnd"/>
      <w:r>
        <w:rPr>
          <w:lang w:val="en-GB"/>
        </w:rPr>
        <w:t>)</w:t>
      </w:r>
    </w:p>
    <w:p w:rsidR="003D3487" w:rsidRPr="00693E5D" w:rsidRDefault="00693E5D">
      <w:pPr>
        <w:pStyle w:val="Listenabsatz"/>
        <w:numPr>
          <w:ilvl w:val="0"/>
          <w:numId w:val="3"/>
        </w:numPr>
        <w:rPr>
          <w:lang w:val="en-GB"/>
        </w:rPr>
      </w:pPr>
      <w:r>
        <w:rPr>
          <w:lang w:val="en-GB"/>
        </w:rPr>
        <w:t>Lab tests (including EMCM pro</w:t>
      </w:r>
      <w:r>
        <w:rPr>
          <w:lang w:val="en-GB"/>
        </w:rPr>
        <w:t>duction and tests) (Christian Koffmane)</w:t>
      </w:r>
    </w:p>
    <w:p w:rsidR="003D3487" w:rsidRPr="00693E5D" w:rsidRDefault="00693E5D">
      <w:pPr>
        <w:pStyle w:val="Listenabsatz"/>
        <w:numPr>
          <w:ilvl w:val="0"/>
          <w:numId w:val="3"/>
        </w:numPr>
        <w:rPr>
          <w:lang w:val="en-GB"/>
        </w:rPr>
      </w:pPr>
      <w:r>
        <w:rPr>
          <w:lang w:val="en-GB"/>
        </w:rPr>
        <w:t xml:space="preserve">Beam Test and Beast (Carlos Marinas) (PXD only </w:t>
      </w:r>
      <w:proofErr w:type="spellStart"/>
      <w:r>
        <w:rPr>
          <w:lang w:val="en-GB"/>
        </w:rPr>
        <w:t>topis</w:t>
      </w:r>
      <w:proofErr w:type="spellEnd"/>
      <w:r>
        <w:rPr>
          <w:lang w:val="en-GB"/>
        </w:rPr>
        <w:t>)</w:t>
      </w:r>
    </w:p>
    <w:p w:rsidR="003D3487" w:rsidRPr="00693E5D" w:rsidRDefault="00693E5D">
      <w:pPr>
        <w:pStyle w:val="Listenabsatz"/>
        <w:numPr>
          <w:ilvl w:val="0"/>
          <w:numId w:val="3"/>
        </w:numPr>
        <w:rPr>
          <w:lang w:val="en-GB"/>
        </w:rPr>
      </w:pPr>
      <w:r>
        <w:rPr>
          <w:lang w:val="en-GB"/>
        </w:rPr>
        <w:t>Module assembly discussion (Christian Kiesling)</w:t>
      </w:r>
    </w:p>
    <w:p w:rsidR="003D3487" w:rsidRPr="00693E5D" w:rsidRDefault="00693E5D">
      <w:pPr>
        <w:rPr>
          <w:lang w:val="en-GB"/>
        </w:rPr>
      </w:pPr>
      <w:r>
        <w:rPr>
          <w:lang w:val="en-GB"/>
        </w:rPr>
        <w:t>In the plenary following topics (amongst</w:t>
      </w:r>
      <w:r>
        <w:rPr>
          <w:lang w:val="en-GB"/>
        </w:rPr>
        <w:t xml:space="preserve"> </w:t>
      </w:r>
      <w:proofErr w:type="gramStart"/>
      <w:r>
        <w:rPr>
          <w:lang w:val="en-GB"/>
        </w:rPr>
        <w:t>others )</w:t>
      </w:r>
      <w:proofErr w:type="gramEnd"/>
      <w:r>
        <w:rPr>
          <w:lang w:val="en-GB"/>
        </w:rPr>
        <w:t xml:space="preserve"> need to be discussed:</w:t>
      </w:r>
    </w:p>
    <w:p w:rsidR="003D3487" w:rsidRDefault="00693E5D">
      <w:pPr>
        <w:pStyle w:val="Listenabsatz"/>
        <w:numPr>
          <w:ilvl w:val="0"/>
          <w:numId w:val="2"/>
        </w:numPr>
      </w:pPr>
      <w:r>
        <w:rPr>
          <w:lang w:val="en-GB"/>
        </w:rPr>
        <w:t>Mechanics (Installation)</w:t>
      </w:r>
    </w:p>
    <w:p w:rsidR="003D3487" w:rsidRDefault="00693E5D">
      <w:pPr>
        <w:pStyle w:val="Listenabsatz"/>
        <w:numPr>
          <w:ilvl w:val="0"/>
          <w:numId w:val="2"/>
        </w:numPr>
      </w:pPr>
      <w:r>
        <w:rPr>
          <w:lang w:val="en-GB"/>
        </w:rPr>
        <w:t xml:space="preserve">Thermal </w:t>
      </w:r>
      <w:proofErr w:type="spellStart"/>
      <w:r>
        <w:rPr>
          <w:lang w:val="en-GB"/>
        </w:rPr>
        <w:t>Mockup</w:t>
      </w:r>
      <w:proofErr w:type="spellEnd"/>
    </w:p>
    <w:p w:rsidR="003D3487" w:rsidRDefault="00693E5D">
      <w:pPr>
        <w:pStyle w:val="Listenabsatz"/>
        <w:numPr>
          <w:ilvl w:val="0"/>
          <w:numId w:val="2"/>
        </w:numPr>
      </w:pPr>
      <w:proofErr w:type="spellStart"/>
      <w:r>
        <w:rPr>
          <w:lang w:val="en-GB"/>
        </w:rPr>
        <w:t>IBBelle</w:t>
      </w:r>
      <w:proofErr w:type="spellEnd"/>
    </w:p>
    <w:p w:rsidR="003D3487" w:rsidRDefault="00693E5D">
      <w:pPr>
        <w:pStyle w:val="Listenabsatz"/>
        <w:numPr>
          <w:ilvl w:val="0"/>
          <w:numId w:val="2"/>
        </w:numPr>
      </w:pPr>
      <w:r>
        <w:rPr>
          <w:lang w:val="en-GB"/>
        </w:rPr>
        <w:t>Beam Tests</w:t>
      </w:r>
      <w:bookmarkStart w:id="0" w:name="_GoBack"/>
      <w:bookmarkEnd w:id="0"/>
    </w:p>
    <w:p w:rsidR="003D3487" w:rsidRDefault="00693E5D">
      <w:pPr>
        <w:pStyle w:val="Listenabsatz"/>
        <w:numPr>
          <w:ilvl w:val="0"/>
          <w:numId w:val="2"/>
        </w:numPr>
      </w:pPr>
      <w:r>
        <w:rPr>
          <w:lang w:val="en-GB"/>
        </w:rPr>
        <w:t>Beast</w:t>
      </w:r>
    </w:p>
    <w:p w:rsidR="003D3487" w:rsidRDefault="00693E5D">
      <w:pPr>
        <w:pStyle w:val="Listenabsatz"/>
        <w:numPr>
          <w:ilvl w:val="0"/>
          <w:numId w:val="2"/>
        </w:numPr>
      </w:pPr>
      <w:r>
        <w:rPr>
          <w:lang w:val="en-GB"/>
        </w:rPr>
        <w:t>Slow Control and DAQ</w:t>
      </w:r>
    </w:p>
    <w:p w:rsidR="003D3487" w:rsidRDefault="00693E5D">
      <w:pPr>
        <w:pStyle w:val="Listenabsatz"/>
        <w:numPr>
          <w:ilvl w:val="0"/>
          <w:numId w:val="2"/>
        </w:numPr>
      </w:pPr>
      <w:r>
        <w:rPr>
          <w:lang w:val="en-GB"/>
        </w:rPr>
        <w:t>Database</w:t>
      </w:r>
    </w:p>
    <w:p w:rsidR="003D3487" w:rsidRDefault="00693E5D">
      <w:pPr>
        <w:pStyle w:val="Listenabsatz"/>
        <w:numPr>
          <w:ilvl w:val="0"/>
          <w:numId w:val="2"/>
        </w:numPr>
      </w:pPr>
      <w:r>
        <w:rPr>
          <w:lang w:val="en-GB"/>
        </w:rPr>
        <w:t>Assembly and Integration at KEK</w:t>
      </w:r>
    </w:p>
    <w:p w:rsidR="003D3487" w:rsidRPr="00693E5D" w:rsidRDefault="00693E5D">
      <w:pPr>
        <w:rPr>
          <w:lang w:val="en-GB"/>
        </w:rPr>
      </w:pPr>
      <w:r>
        <w:rPr>
          <w:lang w:val="en-GB"/>
        </w:rPr>
        <w:t xml:space="preserve">Christian </w:t>
      </w:r>
      <w:proofErr w:type="spellStart"/>
      <w:r>
        <w:rPr>
          <w:lang w:val="en-GB"/>
        </w:rPr>
        <w:t>Irmler</w:t>
      </w:r>
      <w:proofErr w:type="spellEnd"/>
      <w:r>
        <w:rPr>
          <w:lang w:val="en-GB"/>
        </w:rPr>
        <w:t xml:space="preserve"> distributed a draft of an overall agenda. We will check it and circulate it soon. In the meantime the parallel session conveners should start to prepare</w:t>
      </w:r>
      <w:r>
        <w:rPr>
          <w:lang w:val="en-GB"/>
        </w:rPr>
        <w:t xml:space="preserve"> their agenda.</w:t>
      </w:r>
    </w:p>
    <w:p w:rsidR="003D3487" w:rsidRPr="00693E5D" w:rsidRDefault="00693E5D">
      <w:pPr>
        <w:rPr>
          <w:lang w:val="en-GB"/>
        </w:rPr>
      </w:pPr>
      <w:r>
        <w:rPr>
          <w:b/>
          <w:lang w:val="en-GB"/>
        </w:rPr>
        <w:t>AOB</w:t>
      </w:r>
    </w:p>
    <w:p w:rsidR="003D3487" w:rsidRPr="00693E5D" w:rsidRDefault="00693E5D">
      <w:pPr>
        <w:ind w:firstLine="708"/>
        <w:rPr>
          <w:lang w:val="en-GB"/>
        </w:rPr>
      </w:pPr>
      <w:r>
        <w:rPr>
          <w:lang w:val="en-GB"/>
        </w:rPr>
        <w:t>Christian Koffmane reported shortly on the EMCM status: EMCM4 final measurements after copper started (one has already been measured, but it was a defect one which is not representative).  Not much progress on the electronic tests (vacat</w:t>
      </w:r>
      <w:r>
        <w:rPr>
          <w:lang w:val="en-GB"/>
        </w:rPr>
        <w:t>ions) but work on the setup at MPP progressed.</w:t>
      </w:r>
    </w:p>
    <w:p w:rsidR="003D3487" w:rsidRPr="00693E5D" w:rsidRDefault="00693E5D">
      <w:pPr>
        <w:ind w:firstLine="708"/>
        <w:rPr>
          <w:lang w:val="en-GB"/>
        </w:rPr>
      </w:pPr>
      <w:r>
        <w:rPr>
          <w:lang w:val="en-GB"/>
        </w:rPr>
        <w:t>Laci Andricek asked about the status of the module assembly, especially jigs for the module to ladder gluing (Si dummies will be ready end of the year):  Ideas exist but detailed engineering hasn’t started yet</w:t>
      </w:r>
      <w:proofErr w:type="gramStart"/>
      <w:r>
        <w:rPr>
          <w:lang w:val="en-GB"/>
        </w:rPr>
        <w:t>,  due</w:t>
      </w:r>
      <w:proofErr w:type="gramEnd"/>
      <w:r>
        <w:rPr>
          <w:lang w:val="en-GB"/>
        </w:rPr>
        <w:t xml:space="preserve"> to other  projects. They will be finished soon and a first discussion will be at the Pisa meeting, more at the B2GM.  </w:t>
      </w:r>
    </w:p>
    <w:sectPr w:rsidR="003D3487" w:rsidRPr="00693E5D">
      <w:pgSz w:w="11906" w:h="16838"/>
      <w:pgMar w:top="1417" w:right="1417" w:bottom="113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ohit Hindi">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D598D"/>
    <w:multiLevelType w:val="multilevel"/>
    <w:tmpl w:val="5B1005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2D2076F"/>
    <w:multiLevelType w:val="multilevel"/>
    <w:tmpl w:val="9D08D6B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63686AC8"/>
    <w:multiLevelType w:val="multilevel"/>
    <w:tmpl w:val="7EFAB7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71F33C10"/>
    <w:multiLevelType w:val="multilevel"/>
    <w:tmpl w:val="E11810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487"/>
    <w:rsid w:val="003D3487"/>
    <w:rsid w:val="00693E5D"/>
    <w:rsid w:val="008717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tabs>
        <w:tab w:val="left" w:pos="708"/>
      </w:tabs>
      <w:suppressAutoHyphens/>
    </w:pPr>
    <w:rPr>
      <w:rFonts w:ascii="Calibri" w:eastAsia="Droid Sans Fallback" w:hAnsi="Calibri" w:cs="Calibr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rPr>
      <w:rFonts w:ascii="Tahoma" w:hAnsi="Tahoma" w:cs="Tahoma"/>
      <w:sz w:val="16"/>
      <w:szCs w:val="16"/>
    </w:rPr>
  </w:style>
  <w:style w:type="character" w:customStyle="1" w:styleId="NurTextZchn">
    <w:name w:val="Nur Text Zchn"/>
    <w:basedOn w:val="Absatz-Standardschriftart"/>
    <w:rPr>
      <w:rFonts w:ascii="Calibri" w:hAnsi="Calibri"/>
      <w:szCs w:val="21"/>
    </w:rPr>
  </w:style>
  <w:style w:type="character" w:customStyle="1" w:styleId="Internetlink">
    <w:name w:val="Internetlink"/>
    <w:basedOn w:val="Absatz-Standardschriftart"/>
    <w:rPr>
      <w:color w:val="0000FF"/>
      <w:u w:val="single"/>
      <w:lang w:val="de-DE" w:eastAsia="de-DE" w:bidi="de-DE"/>
    </w:rPr>
  </w:style>
  <w:style w:type="character" w:customStyle="1" w:styleId="day">
    <w:name w:val="day"/>
    <w:basedOn w:val="Absatz-Standardschriftart"/>
  </w:style>
  <w:style w:type="character" w:customStyle="1" w:styleId="topleveltime">
    <w:name w:val="topleveltime"/>
    <w:basedOn w:val="Absatz-Standardschriftart"/>
  </w:style>
  <w:style w:type="character" w:customStyle="1" w:styleId="topleveltitle">
    <w:name w:val="topleveltitle"/>
    <w:basedOn w:val="Absatz-Standardschriftart"/>
  </w:style>
  <w:style w:type="character" w:customStyle="1" w:styleId="apple-converted-space">
    <w:name w:val="apple-converted-space"/>
    <w:basedOn w:val="Absatz-Standardschriftart"/>
  </w:style>
  <w:style w:type="character" w:customStyle="1" w:styleId="Betont">
    <w:name w:val="Betont"/>
    <w:basedOn w:val="Absatz-Standardschriftart"/>
    <w:rPr>
      <w:i/>
      <w:iCs/>
    </w:rPr>
  </w:style>
  <w:style w:type="character" w:customStyle="1" w:styleId="materialgroup">
    <w:name w:val="materialgroup"/>
    <w:basedOn w:val="Absatz-Standardschriftart"/>
  </w:style>
  <w:style w:type="character" w:customStyle="1" w:styleId="subleveltitle">
    <w:name w:val="subleveltitle"/>
    <w:basedOn w:val="Absatz-Standardschriftart"/>
  </w:style>
  <w:style w:type="character" w:customStyle="1" w:styleId="ListLabel1">
    <w:name w:val="ListLabel 1"/>
    <w:rPr>
      <w:sz w:val="20"/>
    </w:rPr>
  </w:style>
  <w:style w:type="character" w:customStyle="1" w:styleId="ListLabel2">
    <w:name w:val="ListLabel 2"/>
    <w:rPr>
      <w:rFonts w:cs="Courier New"/>
    </w:rPr>
  </w:style>
  <w:style w:type="character" w:customStyle="1" w:styleId="ListLabel3">
    <w:name w:val="ListLabel 3"/>
    <w:rPr>
      <w:rFonts w:cs="Calibri"/>
    </w:rPr>
  </w:style>
  <w:style w:type="paragraph" w:customStyle="1" w:styleId="berschrift">
    <w:name w:val="Überschrift"/>
    <w:basedOn w:val="Standard"/>
    <w:next w:val="Textkrper"/>
    <w:pPr>
      <w:keepNext/>
      <w:spacing w:before="240" w:after="120"/>
    </w:pPr>
    <w:rPr>
      <w:rFonts w:ascii="Arial" w:hAnsi="Arial" w:cs="Lohit Hindi"/>
      <w:sz w:val="28"/>
      <w:szCs w:val="28"/>
    </w:rPr>
  </w:style>
  <w:style w:type="paragraph" w:styleId="Textkrper">
    <w:name w:val="Body Text"/>
    <w:basedOn w:val="Standard"/>
    <w:pPr>
      <w:spacing w:after="120"/>
    </w:pPr>
  </w:style>
  <w:style w:type="paragraph" w:styleId="Liste">
    <w:name w:val="List"/>
    <w:basedOn w:val="Textkrper"/>
    <w:rPr>
      <w:rFonts w:cs="Lohit Hindi"/>
    </w:rPr>
  </w:style>
  <w:style w:type="paragraph" w:styleId="Beschriftung">
    <w:name w:val="caption"/>
    <w:basedOn w:val="Standard"/>
    <w:pPr>
      <w:suppressLineNumbers/>
      <w:spacing w:before="120" w:after="120"/>
    </w:pPr>
    <w:rPr>
      <w:rFonts w:cs="Lohit Hindi"/>
      <w:i/>
      <w:iCs/>
      <w:sz w:val="24"/>
      <w:szCs w:val="24"/>
    </w:rPr>
  </w:style>
  <w:style w:type="paragraph" w:customStyle="1" w:styleId="Verzeichnis">
    <w:name w:val="Verzeichnis"/>
    <w:basedOn w:val="Standard"/>
    <w:pPr>
      <w:suppressLineNumbers/>
    </w:pPr>
    <w:rPr>
      <w:rFonts w:cs="Lohit Hindi"/>
    </w:rPr>
  </w:style>
  <w:style w:type="paragraph" w:styleId="Sprechblasentext">
    <w:name w:val="Balloon Text"/>
    <w:basedOn w:val="Standard"/>
    <w:pPr>
      <w:spacing w:after="0" w:line="100" w:lineRule="atLeast"/>
    </w:pPr>
    <w:rPr>
      <w:rFonts w:ascii="Tahoma" w:hAnsi="Tahoma" w:cs="Tahoma"/>
      <w:sz w:val="16"/>
      <w:szCs w:val="16"/>
    </w:rPr>
  </w:style>
  <w:style w:type="paragraph" w:styleId="Listenabsatz">
    <w:name w:val="List Paragraph"/>
    <w:basedOn w:val="Standard"/>
    <w:pPr>
      <w:ind w:left="720"/>
    </w:pPr>
  </w:style>
  <w:style w:type="paragraph" w:styleId="NurText">
    <w:name w:val="Plain Text"/>
    <w:basedOn w:val="Standard"/>
    <w:pPr>
      <w:spacing w:after="0" w:line="100" w:lineRule="atLeast"/>
    </w:pPr>
    <w:rPr>
      <w:szCs w:val="21"/>
    </w:rPr>
  </w:style>
  <w:style w:type="paragraph" w:styleId="StandardWeb">
    <w:name w:val="Normal (Web)"/>
    <w:basedOn w:val="Standard"/>
    <w:pPr>
      <w:spacing w:before="28" w:after="28" w:line="100" w:lineRule="atLeast"/>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tabs>
        <w:tab w:val="left" w:pos="708"/>
      </w:tabs>
      <w:suppressAutoHyphens/>
    </w:pPr>
    <w:rPr>
      <w:rFonts w:ascii="Calibri" w:eastAsia="Droid Sans Fallback" w:hAnsi="Calibri" w:cs="Calibr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rPr>
      <w:rFonts w:ascii="Tahoma" w:hAnsi="Tahoma" w:cs="Tahoma"/>
      <w:sz w:val="16"/>
      <w:szCs w:val="16"/>
    </w:rPr>
  </w:style>
  <w:style w:type="character" w:customStyle="1" w:styleId="NurTextZchn">
    <w:name w:val="Nur Text Zchn"/>
    <w:basedOn w:val="Absatz-Standardschriftart"/>
    <w:rPr>
      <w:rFonts w:ascii="Calibri" w:hAnsi="Calibri"/>
      <w:szCs w:val="21"/>
    </w:rPr>
  </w:style>
  <w:style w:type="character" w:customStyle="1" w:styleId="Internetlink">
    <w:name w:val="Internetlink"/>
    <w:basedOn w:val="Absatz-Standardschriftart"/>
    <w:rPr>
      <w:color w:val="0000FF"/>
      <w:u w:val="single"/>
      <w:lang w:val="de-DE" w:eastAsia="de-DE" w:bidi="de-DE"/>
    </w:rPr>
  </w:style>
  <w:style w:type="character" w:customStyle="1" w:styleId="day">
    <w:name w:val="day"/>
    <w:basedOn w:val="Absatz-Standardschriftart"/>
  </w:style>
  <w:style w:type="character" w:customStyle="1" w:styleId="topleveltime">
    <w:name w:val="topleveltime"/>
    <w:basedOn w:val="Absatz-Standardschriftart"/>
  </w:style>
  <w:style w:type="character" w:customStyle="1" w:styleId="topleveltitle">
    <w:name w:val="topleveltitle"/>
    <w:basedOn w:val="Absatz-Standardschriftart"/>
  </w:style>
  <w:style w:type="character" w:customStyle="1" w:styleId="apple-converted-space">
    <w:name w:val="apple-converted-space"/>
    <w:basedOn w:val="Absatz-Standardschriftart"/>
  </w:style>
  <w:style w:type="character" w:customStyle="1" w:styleId="Betont">
    <w:name w:val="Betont"/>
    <w:basedOn w:val="Absatz-Standardschriftart"/>
    <w:rPr>
      <w:i/>
      <w:iCs/>
    </w:rPr>
  </w:style>
  <w:style w:type="character" w:customStyle="1" w:styleId="materialgroup">
    <w:name w:val="materialgroup"/>
    <w:basedOn w:val="Absatz-Standardschriftart"/>
  </w:style>
  <w:style w:type="character" w:customStyle="1" w:styleId="subleveltitle">
    <w:name w:val="subleveltitle"/>
    <w:basedOn w:val="Absatz-Standardschriftart"/>
  </w:style>
  <w:style w:type="character" w:customStyle="1" w:styleId="ListLabel1">
    <w:name w:val="ListLabel 1"/>
    <w:rPr>
      <w:sz w:val="20"/>
    </w:rPr>
  </w:style>
  <w:style w:type="character" w:customStyle="1" w:styleId="ListLabel2">
    <w:name w:val="ListLabel 2"/>
    <w:rPr>
      <w:rFonts w:cs="Courier New"/>
    </w:rPr>
  </w:style>
  <w:style w:type="character" w:customStyle="1" w:styleId="ListLabel3">
    <w:name w:val="ListLabel 3"/>
    <w:rPr>
      <w:rFonts w:cs="Calibri"/>
    </w:rPr>
  </w:style>
  <w:style w:type="paragraph" w:customStyle="1" w:styleId="berschrift">
    <w:name w:val="Überschrift"/>
    <w:basedOn w:val="Standard"/>
    <w:next w:val="Textkrper"/>
    <w:pPr>
      <w:keepNext/>
      <w:spacing w:before="240" w:after="120"/>
    </w:pPr>
    <w:rPr>
      <w:rFonts w:ascii="Arial" w:hAnsi="Arial" w:cs="Lohit Hindi"/>
      <w:sz w:val="28"/>
      <w:szCs w:val="28"/>
    </w:rPr>
  </w:style>
  <w:style w:type="paragraph" w:styleId="Textkrper">
    <w:name w:val="Body Text"/>
    <w:basedOn w:val="Standard"/>
    <w:pPr>
      <w:spacing w:after="120"/>
    </w:pPr>
  </w:style>
  <w:style w:type="paragraph" w:styleId="Liste">
    <w:name w:val="List"/>
    <w:basedOn w:val="Textkrper"/>
    <w:rPr>
      <w:rFonts w:cs="Lohit Hindi"/>
    </w:rPr>
  </w:style>
  <w:style w:type="paragraph" w:styleId="Beschriftung">
    <w:name w:val="caption"/>
    <w:basedOn w:val="Standard"/>
    <w:pPr>
      <w:suppressLineNumbers/>
      <w:spacing w:before="120" w:after="120"/>
    </w:pPr>
    <w:rPr>
      <w:rFonts w:cs="Lohit Hindi"/>
      <w:i/>
      <w:iCs/>
      <w:sz w:val="24"/>
      <w:szCs w:val="24"/>
    </w:rPr>
  </w:style>
  <w:style w:type="paragraph" w:customStyle="1" w:styleId="Verzeichnis">
    <w:name w:val="Verzeichnis"/>
    <w:basedOn w:val="Standard"/>
    <w:pPr>
      <w:suppressLineNumbers/>
    </w:pPr>
    <w:rPr>
      <w:rFonts w:cs="Lohit Hindi"/>
    </w:rPr>
  </w:style>
  <w:style w:type="paragraph" w:styleId="Sprechblasentext">
    <w:name w:val="Balloon Text"/>
    <w:basedOn w:val="Standard"/>
    <w:pPr>
      <w:spacing w:after="0" w:line="100" w:lineRule="atLeast"/>
    </w:pPr>
    <w:rPr>
      <w:rFonts w:ascii="Tahoma" w:hAnsi="Tahoma" w:cs="Tahoma"/>
      <w:sz w:val="16"/>
      <w:szCs w:val="16"/>
    </w:rPr>
  </w:style>
  <w:style w:type="paragraph" w:styleId="Listenabsatz">
    <w:name w:val="List Paragraph"/>
    <w:basedOn w:val="Standard"/>
    <w:pPr>
      <w:ind w:left="720"/>
    </w:pPr>
  </w:style>
  <w:style w:type="paragraph" w:styleId="NurText">
    <w:name w:val="Plain Text"/>
    <w:basedOn w:val="Standard"/>
    <w:pPr>
      <w:spacing w:after="0" w:line="100" w:lineRule="atLeast"/>
    </w:pPr>
    <w:rPr>
      <w:szCs w:val="21"/>
    </w:rPr>
  </w:style>
  <w:style w:type="paragraph" w:styleId="StandardWeb">
    <w:name w:val="Normal (Web)"/>
    <w:basedOn w:val="Standard"/>
    <w:pPr>
      <w:spacing w:before="28" w:after="28" w:line="100" w:lineRule="atLeast"/>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indico.mpp.mpg.de/materialDisplay.py?contribId=3&amp;materialId=slides&amp;confId=301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dico.mpp.mpg.de/materialDisplay.py?contribId=0&amp;materialId=slides&amp;confId=3015"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indico.mpp.mpg.de/materialDisplay.py?contribId=1&amp;materialId=0&amp;confId=3015" TargetMode="External"/><Relationship Id="rId4" Type="http://schemas.openxmlformats.org/officeDocument/2006/relationships/settings" Target="settings.xml"/><Relationship Id="rId9" Type="http://schemas.openxmlformats.org/officeDocument/2006/relationships/hyperlink" Target="https://indico.mpp.mpg.de/materialDisplay.py?contribId=4&amp;materialId=slides&amp;confId=301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5624</Characters>
  <Application>Microsoft Office Word</Application>
  <DocSecurity>0</DocSecurity>
  <Lines>46</Lines>
  <Paragraphs>13</Paragraphs>
  <ScaleCrop>false</ScaleCrop>
  <Company>HLL MPG</Company>
  <LinksUpToDate>false</LinksUpToDate>
  <CharactersWithSpaces>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Hans-Günther Moser</dc:creator>
  <cp:lastModifiedBy>Hans-Günther Moser</cp:lastModifiedBy>
  <cp:revision>3</cp:revision>
  <cp:lastPrinted>2014-04-10T07:54:00Z</cp:lastPrinted>
  <dcterms:created xsi:type="dcterms:W3CDTF">2014-09-17T12:55:00Z</dcterms:created>
  <dcterms:modified xsi:type="dcterms:W3CDTF">2014-09-17T12:55:00Z</dcterms:modified>
</cp:coreProperties>
</file>